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E57" w:rsidRDefault="005F4E57">
      <w:pPr>
        <w:pStyle w:val="Title"/>
        <w:spacing w:after="120"/>
      </w:pPr>
      <w:bookmarkStart w:id="0" w:name="_GoBack"/>
      <w:r>
        <w:t>Pathologic Reactions of Neurons</w:t>
      </w:r>
    </w:p>
    <w:p w:rsidR="00580BEA" w:rsidRDefault="00580BEA" w:rsidP="00580BEA">
      <w:pPr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9E4F7C">
        <w:rPr>
          <w:noProof/>
        </w:rPr>
        <w:t>April 20, 2019</w:t>
      </w:r>
      <w:r>
        <w:fldChar w:fldCharType="end"/>
      </w:r>
    </w:p>
    <w:p w:rsidR="000D4995" w:rsidRDefault="00AE360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1,1" </w:instrText>
      </w:r>
      <w:r>
        <w:fldChar w:fldCharType="separate"/>
      </w:r>
      <w:hyperlink w:anchor="_Toc6655307" w:history="1">
        <w:r w:rsidR="000D4995" w:rsidRPr="00F873E6">
          <w:rPr>
            <w:rStyle w:val="Hyperlink"/>
            <w:noProof/>
          </w:rPr>
          <w:t>Neuronal reactions to injury</w:t>
        </w:r>
        <w:r w:rsidR="000D4995">
          <w:rPr>
            <w:noProof/>
            <w:webHidden/>
          </w:rPr>
          <w:tab/>
        </w:r>
        <w:r w:rsidR="000D4995">
          <w:rPr>
            <w:noProof/>
            <w:webHidden/>
          </w:rPr>
          <w:fldChar w:fldCharType="begin"/>
        </w:r>
        <w:r w:rsidR="000D4995">
          <w:rPr>
            <w:noProof/>
            <w:webHidden/>
          </w:rPr>
          <w:instrText xml:space="preserve"> PAGEREF _Toc6655307 \h </w:instrText>
        </w:r>
        <w:r w:rsidR="000D4995">
          <w:rPr>
            <w:noProof/>
            <w:webHidden/>
          </w:rPr>
        </w:r>
        <w:r w:rsidR="000D4995">
          <w:rPr>
            <w:noProof/>
            <w:webHidden/>
          </w:rPr>
          <w:fldChar w:fldCharType="separate"/>
        </w:r>
        <w:r w:rsidR="009E4F7C">
          <w:rPr>
            <w:noProof/>
            <w:webHidden/>
          </w:rPr>
          <w:t>1</w:t>
        </w:r>
        <w:r w:rsidR="000D4995">
          <w:rPr>
            <w:noProof/>
            <w:webHidden/>
          </w:rPr>
          <w:fldChar w:fldCharType="end"/>
        </w:r>
      </w:hyperlink>
    </w:p>
    <w:p w:rsidR="000D4995" w:rsidRDefault="009E4F7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55308" w:history="1">
        <w:r w:rsidR="000D4995" w:rsidRPr="00F873E6">
          <w:rPr>
            <w:rStyle w:val="Hyperlink"/>
            <w:noProof/>
          </w:rPr>
          <w:t>Neuron doctrine of Santiago Ramón Y Cajal</w:t>
        </w:r>
        <w:r w:rsidR="000D4995">
          <w:rPr>
            <w:noProof/>
            <w:webHidden/>
          </w:rPr>
          <w:tab/>
        </w:r>
        <w:r w:rsidR="000D4995">
          <w:rPr>
            <w:noProof/>
            <w:webHidden/>
          </w:rPr>
          <w:fldChar w:fldCharType="begin"/>
        </w:r>
        <w:r w:rsidR="000D4995">
          <w:rPr>
            <w:noProof/>
            <w:webHidden/>
          </w:rPr>
          <w:instrText xml:space="preserve"> PAGEREF _Toc6655308 \h </w:instrText>
        </w:r>
        <w:r w:rsidR="000D4995">
          <w:rPr>
            <w:noProof/>
            <w:webHidden/>
          </w:rPr>
        </w:r>
        <w:r w:rsidR="000D499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0D4995">
          <w:rPr>
            <w:noProof/>
            <w:webHidden/>
          </w:rPr>
          <w:fldChar w:fldCharType="end"/>
        </w:r>
      </w:hyperlink>
    </w:p>
    <w:p w:rsidR="000D4995" w:rsidRDefault="009E4F7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55309" w:history="1">
        <w:r w:rsidR="000D4995" w:rsidRPr="00F873E6">
          <w:rPr>
            <w:rStyle w:val="Hyperlink"/>
            <w:noProof/>
          </w:rPr>
          <w:t>Selective vulnerability</w:t>
        </w:r>
        <w:r w:rsidR="000D4995">
          <w:rPr>
            <w:noProof/>
            <w:webHidden/>
          </w:rPr>
          <w:tab/>
        </w:r>
        <w:r w:rsidR="000D4995">
          <w:rPr>
            <w:noProof/>
            <w:webHidden/>
          </w:rPr>
          <w:fldChar w:fldCharType="begin"/>
        </w:r>
        <w:r w:rsidR="000D4995">
          <w:rPr>
            <w:noProof/>
            <w:webHidden/>
          </w:rPr>
          <w:instrText xml:space="preserve"> PAGEREF _Toc6655309 \h </w:instrText>
        </w:r>
        <w:r w:rsidR="000D4995">
          <w:rPr>
            <w:noProof/>
            <w:webHidden/>
          </w:rPr>
        </w:r>
        <w:r w:rsidR="000D499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0D4995">
          <w:rPr>
            <w:noProof/>
            <w:webHidden/>
          </w:rPr>
          <w:fldChar w:fldCharType="end"/>
        </w:r>
      </w:hyperlink>
    </w:p>
    <w:p w:rsidR="00C736C3" w:rsidRDefault="00AE360D" w:rsidP="00C736C3">
      <w:r>
        <w:fldChar w:fldCharType="end"/>
      </w:r>
    </w:p>
    <w:p w:rsidR="00AE360D" w:rsidRDefault="00AE360D" w:rsidP="00C736C3"/>
    <w:p w:rsidR="009B564E" w:rsidRDefault="009B564E">
      <w:pPr>
        <w:numPr>
          <w:ilvl w:val="0"/>
          <w:numId w:val="1"/>
        </w:numPr>
      </w:pPr>
      <w:r>
        <w:t xml:space="preserve">neurons have </w:t>
      </w:r>
      <w:r w:rsidRPr="009B564E">
        <w:rPr>
          <w:rStyle w:val="Blue"/>
        </w:rPr>
        <w:t>structural, functional, and metabolic diversity</w:t>
      </w:r>
      <w:r>
        <w:t xml:space="preserve"> that surpasses the diversity of all remaining body cell types taken together.</w:t>
      </w:r>
    </w:p>
    <w:p w:rsidR="005F4E57" w:rsidRDefault="005F4E57">
      <w:pPr>
        <w:numPr>
          <w:ilvl w:val="0"/>
          <w:numId w:val="1"/>
        </w:numPr>
      </w:pPr>
      <w:r>
        <w:rPr>
          <w:smallCaps/>
        </w:rPr>
        <w:t>metabolic diversity of neurons</w:t>
      </w:r>
      <w:r>
        <w:t xml:space="preserve"> – </w:t>
      </w:r>
      <w:r w:rsidR="009B564E">
        <w:t>each neuron type has its own</w:t>
      </w:r>
      <w:r>
        <w:t xml:space="preserve"> </w:t>
      </w:r>
      <w:r>
        <w:rPr>
          <w:b/>
          <w:bCs/>
          <w:color w:val="FF0000"/>
        </w:rPr>
        <w:t>critical metabolic pathways</w:t>
      </w:r>
      <w:r>
        <w:t>!</w:t>
      </w:r>
    </w:p>
    <w:p w:rsidR="005F4E57" w:rsidRDefault="005F4E57">
      <w:pPr>
        <w:pStyle w:val="Header"/>
        <w:tabs>
          <w:tab w:val="clear" w:pos="4320"/>
        </w:tabs>
      </w:pPr>
    </w:p>
    <w:p w:rsidR="005F4E57" w:rsidRDefault="005F4E57" w:rsidP="00B977F4">
      <w:r>
        <w:rPr>
          <w:u w:val="double"/>
        </w:rPr>
        <w:t>Doctrine</w:t>
      </w:r>
      <w:r>
        <w:t xml:space="preserve"> – </w:t>
      </w:r>
      <w:r w:rsidRPr="00B977F4">
        <w:rPr>
          <w:smallCaps/>
          <w:highlight w:val="yellow"/>
        </w:rPr>
        <w:t>selective vulnerability of neurons</w:t>
      </w:r>
    </w:p>
    <w:p w:rsidR="005F4E57" w:rsidRDefault="005F4E57">
      <w:pPr>
        <w:numPr>
          <w:ilvl w:val="0"/>
          <w:numId w:val="2"/>
        </w:numPr>
        <w:spacing w:after="120"/>
      </w:pPr>
      <w:r>
        <w:t>various types of neurons exhibit differential susceptibility to various pathogens.</w:t>
      </w:r>
    </w:p>
    <w:p w:rsidR="005F4E57" w:rsidRDefault="005F4E57">
      <w:pPr>
        <w:pStyle w:val="BlockText"/>
      </w:pPr>
      <w:r>
        <w:rPr>
          <w:color w:val="FF0000"/>
        </w:rPr>
        <w:t>Toxic, viral, genetic disease</w:t>
      </w:r>
      <w:r>
        <w:t xml:space="preserve"> could exist for each (!) anatomically and metabolically different group of neurons!</w:t>
      </w:r>
    </w:p>
    <w:p w:rsidR="00C736C3" w:rsidRDefault="00C736C3" w:rsidP="00C736C3"/>
    <w:p w:rsidR="005F4E57" w:rsidRDefault="005F4E57"/>
    <w:p w:rsidR="00C736C3" w:rsidRDefault="005F4E57" w:rsidP="00C736C3">
      <w:pPr>
        <w:pStyle w:val="Nervous1"/>
      </w:pPr>
      <w:bookmarkStart w:id="1" w:name="_Toc6655307"/>
      <w:r>
        <w:t>Neuronal reactions to injury</w:t>
      </w:r>
      <w:bookmarkEnd w:id="1"/>
    </w:p>
    <w:p w:rsidR="005F4E57" w:rsidRDefault="005F4E57" w:rsidP="00C736C3">
      <w:pPr>
        <w:spacing w:after="120"/>
        <w:jc w:val="right"/>
        <w:rPr>
          <w:sz w:val="32"/>
        </w:rPr>
      </w:pPr>
      <w:r>
        <w:rPr>
          <w:sz w:val="32"/>
        </w:rPr>
        <w:tab/>
      </w:r>
      <w:r>
        <w:rPr>
          <w:color w:val="808080"/>
        </w:rPr>
        <w:t xml:space="preserve">see also </w:t>
      </w:r>
      <w:r w:rsidR="00AE360D">
        <w:rPr>
          <w:color w:val="808080"/>
        </w:rPr>
        <w:t xml:space="preserve">p. </w:t>
      </w:r>
      <w:r>
        <w:rPr>
          <w:color w:val="808080"/>
        </w:rPr>
        <w:t>PN1</w:t>
      </w:r>
      <w:r w:rsidR="00934F0A">
        <w:rPr>
          <w:color w:val="808080"/>
        </w:rPr>
        <w:t xml:space="preserve">, </w:t>
      </w:r>
      <w:hyperlink r:id="rId7" w:anchor="Pathophysiology" w:history="1">
        <w:r w:rsidR="00934F0A" w:rsidRPr="00934F0A">
          <w:rPr>
            <w:rStyle w:val="Hyperlink"/>
          </w:rPr>
          <w:t>p. PN7 &gt;&gt;</w:t>
        </w:r>
      </w:hyperlink>
    </w:p>
    <w:p w:rsidR="005F4E57" w:rsidRDefault="005F4E57">
      <w:pPr>
        <w:numPr>
          <w:ilvl w:val="0"/>
          <w:numId w:val="3"/>
        </w:numPr>
        <w:rPr>
          <w:b/>
          <w:bCs/>
          <w:smallCaps/>
          <w:color w:val="FFFFFF"/>
        </w:rPr>
      </w:pPr>
      <w:r>
        <w:rPr>
          <w:b/>
          <w:bCs/>
          <w:smallCaps/>
          <w:color w:val="FFFF99"/>
          <w:highlight w:val="black"/>
        </w:rPr>
        <w:t>Wallerian degeneration</w:t>
      </w:r>
      <w:r>
        <w:t xml:space="preserve"> – </w:t>
      </w:r>
      <w:r w:rsidRPr="00580BEA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dissolution of </w:t>
      </w:r>
      <w:r w:rsidRPr="00580BEA">
        <w:rPr>
          <w:b/>
          <w:bCs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distal</w:t>
      </w:r>
      <w:r w:rsidRPr="00580BEA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part of axon and (!) its myelin sheath</w:t>
      </w:r>
      <w:r>
        <w:t xml:space="preserve"> (following transection and separation of axon from its perikaryon)</w:t>
      </w:r>
    </w:p>
    <w:p w:rsidR="005F4E57" w:rsidRDefault="005F4E57" w:rsidP="005F4E57">
      <w:pPr>
        <w:numPr>
          <w:ilvl w:val="1"/>
          <w:numId w:val="3"/>
        </w:numPr>
        <w:tabs>
          <w:tab w:val="num" w:pos="720"/>
        </w:tabs>
        <w:ind w:left="700"/>
      </w:pPr>
      <w:r>
        <w:t xml:space="preserve">any bit of living neuron that is separated from metabolic machinery (perikaryon) will die – </w:t>
      </w:r>
      <w:r>
        <w:rPr>
          <w:b/>
          <w:bCs/>
          <w:smallCaps/>
          <w:color w:val="008000"/>
        </w:rPr>
        <w:t>anterograde</w:t>
      </w:r>
      <w:r>
        <w:rPr>
          <w:b/>
          <w:bCs/>
          <w:color w:val="008000"/>
        </w:rPr>
        <w:t xml:space="preserve"> (s. </w:t>
      </w:r>
      <w:r>
        <w:rPr>
          <w:b/>
          <w:bCs/>
          <w:smallCaps/>
          <w:color w:val="008000"/>
        </w:rPr>
        <w:t>orthograde</w:t>
      </w:r>
      <w:r>
        <w:rPr>
          <w:b/>
          <w:bCs/>
          <w:color w:val="008000"/>
        </w:rPr>
        <w:t>) degeneration</w:t>
      </w:r>
      <w:r>
        <w:t>.</w:t>
      </w:r>
    </w:p>
    <w:p w:rsidR="005F4E57" w:rsidRDefault="005F4E57" w:rsidP="005F4E57">
      <w:pPr>
        <w:numPr>
          <w:ilvl w:val="1"/>
          <w:numId w:val="3"/>
        </w:numPr>
        <w:tabs>
          <w:tab w:val="num" w:pos="720"/>
        </w:tabs>
        <w:ind w:left="700"/>
      </w:pPr>
      <w:r>
        <w:t>changes in myelin lag behind those in axons but progress in similar way - as distal axon degenerates</w:t>
      </w:r>
      <w:r w:rsidR="002F35C6">
        <w:t>,</w:t>
      </w:r>
      <w:r>
        <w:t xml:space="preserve"> myelin in distal stump is also broken down and cleared.</w:t>
      </w:r>
    </w:p>
    <w:p w:rsidR="00C668D0" w:rsidRDefault="00C668D0" w:rsidP="00C668D0">
      <w:pPr>
        <w:numPr>
          <w:ilvl w:val="0"/>
          <w:numId w:val="13"/>
        </w:numPr>
      </w:pPr>
      <w:r w:rsidRPr="00C668D0">
        <w:t>myelin breaks down into blocks or ovoids in which lie fragments of axons (digestion chambers of Cajal).</w:t>
      </w:r>
    </w:p>
    <w:p w:rsidR="005F4E57" w:rsidRDefault="005F4E57" w:rsidP="00C668D0">
      <w:pPr>
        <w:numPr>
          <w:ilvl w:val="0"/>
          <w:numId w:val="13"/>
        </w:numPr>
      </w:pPr>
      <w:r>
        <w:rPr>
          <w:i/>
          <w:iCs/>
        </w:rPr>
        <w:t xml:space="preserve">detritą pašalina </w:t>
      </w:r>
      <w:r>
        <w:rPr>
          <w:b/>
          <w:bCs/>
          <w:i/>
          <w:iCs/>
        </w:rPr>
        <w:t>fagocitai</w:t>
      </w:r>
      <w:r>
        <w:t xml:space="preserve"> (microglia - in CNS; Švanocitų ir kraujo monocitų kilmės – in PNS); Schwann cells catabolize myelin and later engulf axon fragments, forming small oval compartments (</w:t>
      </w:r>
      <w:r>
        <w:rPr>
          <w:i/>
          <w:iCs/>
          <w:smallCaps/>
          <w:color w:val="800080"/>
        </w:rPr>
        <w:t>myelin ovoids</w:t>
      </w:r>
      <w:r>
        <w:t>).</w:t>
      </w:r>
    </w:p>
    <w:p w:rsidR="00934E00" w:rsidRPr="00934E00" w:rsidRDefault="00934E00" w:rsidP="00934E00">
      <w:pPr>
        <w:numPr>
          <w:ilvl w:val="0"/>
          <w:numId w:val="13"/>
        </w:numPr>
      </w:pPr>
      <w:r w:rsidRPr="00934E00">
        <w:t>several months may be required for disposal of all myelin debris</w:t>
      </w:r>
      <w:r>
        <w:t>.</w:t>
      </w:r>
    </w:p>
    <w:p w:rsidR="005F4E57" w:rsidRDefault="005F4E57" w:rsidP="005F4E57">
      <w:pPr>
        <w:numPr>
          <w:ilvl w:val="1"/>
          <w:numId w:val="3"/>
        </w:numPr>
        <w:tabs>
          <w:tab w:val="num" w:pos="720"/>
        </w:tabs>
        <w:ind w:left="700"/>
      </w:pPr>
      <w:r>
        <w:t>gali degeneruoti ir proksimalinis aksono galas (</w:t>
      </w:r>
      <w:r>
        <w:rPr>
          <w:b/>
          <w:bCs/>
          <w:smallCaps/>
          <w:color w:val="008000"/>
        </w:rPr>
        <w:t>retrograde</w:t>
      </w:r>
      <w:r>
        <w:rPr>
          <w:b/>
          <w:bCs/>
          <w:color w:val="008000"/>
        </w:rPr>
        <w:t xml:space="preserve"> degeneration</w:t>
      </w:r>
      <w:r>
        <w:t>) – paprastai, iki pirmos kolateralės (</w:t>
      </w:r>
      <w:r>
        <w:rPr>
          <w:b/>
          <w:bCs/>
        </w:rPr>
        <w:t>sustaining collateral</w:t>
      </w:r>
      <w:r>
        <w:t xml:space="preserve">); tuo metu perikaryon patiria </w:t>
      </w:r>
      <w:r>
        <w:rPr>
          <w:b/>
          <w:bCs/>
          <w:color w:val="008000"/>
        </w:rPr>
        <w:t>chromatolysis</w:t>
      </w:r>
      <w:r>
        <w:t xml:space="preserve"> (see below).</w:t>
      </w:r>
    </w:p>
    <w:p w:rsidR="005F4E57" w:rsidRDefault="005F4E57">
      <w:pPr>
        <w:spacing w:before="120" w:after="120"/>
        <w:ind w:left="1080"/>
      </w:pPr>
      <w:r>
        <w:t xml:space="preserve">Jei aksonas neturi kolateralių, ar pažeidimas arti perikaryon – </w:t>
      </w:r>
      <w:r>
        <w:rPr>
          <w:b/>
          <w:bCs/>
          <w:color w:val="CC3300"/>
        </w:rPr>
        <w:t>gali žūti visas neuronas</w:t>
      </w:r>
      <w:r>
        <w:t>!</w:t>
      </w:r>
    </w:p>
    <w:p w:rsidR="005F4E57" w:rsidRDefault="005F4E57" w:rsidP="005F4E57">
      <w:pPr>
        <w:numPr>
          <w:ilvl w:val="1"/>
          <w:numId w:val="3"/>
        </w:numPr>
        <w:tabs>
          <w:tab w:val="num" w:pos="720"/>
        </w:tabs>
        <w:ind w:left="700"/>
      </w:pPr>
      <w:r>
        <w:t>eksperimentuose naudojama to trace neural pathways.</w:t>
      </w:r>
    </w:p>
    <w:p w:rsidR="005F4E57" w:rsidRDefault="00580BEA">
      <w:pPr>
        <w:jc w:val="center"/>
        <w:rPr>
          <w:b/>
          <w:bCs/>
          <w:smallCaps/>
          <w:color w:val="FFFFFF"/>
        </w:rPr>
      </w:pPr>
      <w:r>
        <w:rPr>
          <w:b/>
          <w:bCs/>
          <w:smallCaps/>
          <w:noProof/>
          <w:color w:val="FFFFFF"/>
        </w:rPr>
        <w:lastRenderedPageBreak/>
        <w:drawing>
          <wp:inline distT="0" distB="0" distL="0" distR="0" wp14:anchorId="716D6B0F" wp14:editId="0DB1057B">
            <wp:extent cx="5105400" cy="3533775"/>
            <wp:effectExtent l="0" t="0" r="0" b="9525"/>
            <wp:docPr id="3" name="Picture 3" descr="D:\Viktoro\Neuroscience\A. Neuroscience Basics\A3-5. Neuron, Synapsis, Neurochemistry\00. Pictures\NA-26 (2-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A. Neuroscience Basics\A3-5. Neuron, Synapsis, Neurochemistry\00. Pictures\NA-26 (2-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138"/>
        <w:gridCol w:w="4784"/>
      </w:tblGrid>
      <w:tr w:rsidR="005F4E57">
        <w:tc>
          <w:tcPr>
            <w:tcW w:w="5353" w:type="dxa"/>
            <w:vAlign w:val="center"/>
          </w:tcPr>
          <w:p w:rsidR="005F4E57" w:rsidRDefault="005F4E57">
            <w:pPr>
              <w:pStyle w:val="Header"/>
              <w:tabs>
                <w:tab w:val="clear" w:pos="43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Electron micrograph of degenerating axon </w:t>
            </w:r>
            <w:r>
              <w:rPr>
                <w:i/>
                <w:iCs/>
                <w:color w:val="000000"/>
              </w:rPr>
              <w:t>(arrow)</w:t>
            </w:r>
            <w:r>
              <w:rPr>
                <w:color w:val="000000"/>
              </w:rPr>
              <w:t xml:space="preserve"> adjacent to several intact unmyelinated fibers </w:t>
            </w:r>
            <w:r>
              <w:rPr>
                <w:i/>
                <w:iCs/>
                <w:color w:val="000000"/>
              </w:rPr>
              <w:t>(arrowheads)</w:t>
            </w:r>
            <w:r>
              <w:rPr>
                <w:color w:val="000000"/>
              </w:rPr>
              <w:t>; axon is markedly distended and contains numerous degenerating organelles and dense bodies.</w:t>
            </w:r>
            <w:r>
              <w:rPr>
                <w:color w:val="000000"/>
              </w:rPr>
              <w:br w:type="textWrapping" w:clear="left"/>
            </w:r>
          </w:p>
        </w:tc>
        <w:tc>
          <w:tcPr>
            <w:tcW w:w="4785" w:type="dxa"/>
          </w:tcPr>
          <w:p w:rsidR="005F4E57" w:rsidRDefault="00580BEA">
            <w:pPr>
              <w:pStyle w:val="Header"/>
              <w:tabs>
                <w:tab w:val="clear" w:pos="4320"/>
              </w:tabs>
            </w:pPr>
            <w:r>
              <w:rPr>
                <w:noProof/>
              </w:rPr>
              <w:drawing>
                <wp:inline distT="0" distB="0" distL="0" distR="0" wp14:anchorId="5B2BE9DE" wp14:editId="3EB7CD9A">
                  <wp:extent cx="2886075" cy="2914650"/>
                  <wp:effectExtent l="0" t="0" r="9525" b="0"/>
                  <wp:docPr id="4" name="Picture 4" descr="D:\Viktoro\Neuroscience\A. Neuroscience Basics\A3-5. Neuron, Synapsis, Neurochemistry\00. Pictures\wallerian degene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Viktoro\Neuroscience\A. Neuroscience Basics\A3-5. Neuron, Synapsis, Neurochemistry\00. Pictures\wallerian degene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E57" w:rsidRDefault="005F4E57" w:rsidP="00E62243"/>
    <w:p w:rsidR="001F28A2" w:rsidRDefault="001F28A2" w:rsidP="00E62243">
      <w:r>
        <w:rPr>
          <w:bCs/>
        </w:rPr>
        <w:t>Early Wallerian degeneration:</w:t>
      </w:r>
    </w:p>
    <w:p w:rsidR="001F28A2" w:rsidRDefault="00580BEA" w:rsidP="00E62243">
      <w:r>
        <w:rPr>
          <w:noProof/>
        </w:rPr>
        <w:lastRenderedPageBreak/>
        <w:drawing>
          <wp:inline distT="0" distB="0" distL="0" distR="0" wp14:anchorId="2C5772A0" wp14:editId="31D52A42">
            <wp:extent cx="6458585" cy="4392295"/>
            <wp:effectExtent l="0" t="0" r="0" b="0"/>
            <wp:docPr id="85" name="Picture 2" descr="C:\Documents and Settings\Administrator\Desktop\scanned images\early 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ned images\early w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73" w:rsidRDefault="001C2073" w:rsidP="00E62243"/>
    <w:p w:rsidR="001C2073" w:rsidRDefault="001C2073" w:rsidP="00E62243">
      <w:r>
        <w:t xml:space="preserve">Myelin resorption by Schwann </w:t>
      </w:r>
      <w:r w:rsidR="00FC2789">
        <w:t>cell</w:t>
      </w:r>
      <w:r>
        <w:t>:</w:t>
      </w:r>
    </w:p>
    <w:p w:rsidR="001C2073" w:rsidRDefault="00580BEA" w:rsidP="00E62243">
      <w:r>
        <w:rPr>
          <w:noProof/>
        </w:rPr>
        <w:drawing>
          <wp:inline distT="0" distB="0" distL="0" distR="0" wp14:anchorId="59C3006A" wp14:editId="28F3C591">
            <wp:extent cx="6022975" cy="3912870"/>
            <wp:effectExtent l="0" t="0" r="0" b="0"/>
            <wp:docPr id="86" name="Picture 2" descr="C:\Documents and Settings\Administrator\Desktop\scanned images\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ned images\w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A2" w:rsidRDefault="001F28A2" w:rsidP="00E62243"/>
    <w:p w:rsidR="007E5A5D" w:rsidRDefault="007E5A5D" w:rsidP="00E62243">
      <w:r w:rsidRPr="007E5A5D">
        <w:rPr>
          <w:bCs/>
        </w:rPr>
        <w:t>Teased fibre preparation of peripheral n</w:t>
      </w:r>
      <w:r>
        <w:rPr>
          <w:bCs/>
        </w:rPr>
        <w:t xml:space="preserve">erves in Wallerian degeneration - </w:t>
      </w:r>
      <w:r>
        <w:t>characteristic fragmentation of myelin sheath (appears dark) around damaged axons:</w:t>
      </w:r>
    </w:p>
    <w:p w:rsidR="007E5A5D" w:rsidRDefault="00580BEA" w:rsidP="007E5A5D">
      <w:pPr>
        <w:pStyle w:val="Header"/>
        <w:tabs>
          <w:tab w:val="clear" w:pos="4320"/>
        </w:tabs>
        <w:jc w:val="center"/>
      </w:pPr>
      <w:r>
        <w:rPr>
          <w:noProof/>
        </w:rPr>
        <w:drawing>
          <wp:inline distT="0" distB="0" distL="0" distR="0" wp14:anchorId="2AEF0419" wp14:editId="2E7D044E">
            <wp:extent cx="4943475" cy="2352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5D" w:rsidRDefault="007E5A5D" w:rsidP="00E62243"/>
    <w:p w:rsidR="007E5A5D" w:rsidRDefault="007E5A5D" w:rsidP="00E62243"/>
    <w:p w:rsidR="005F4E57" w:rsidRDefault="005F4E57">
      <w:pPr>
        <w:numPr>
          <w:ilvl w:val="0"/>
          <w:numId w:val="3"/>
        </w:numPr>
      </w:pPr>
      <w:r>
        <w:rPr>
          <w:b/>
          <w:bCs/>
          <w:smallCaps/>
          <w:color w:val="FFFF99"/>
          <w:highlight w:val="black"/>
        </w:rPr>
        <w:t>Chromatolysis</w:t>
      </w:r>
      <w:r>
        <w:t xml:space="preserve"> – follows axonal injury</w:t>
      </w:r>
      <w:r w:rsidR="001C2073">
        <w:t xml:space="preserve">; it is </w:t>
      </w:r>
      <w:r w:rsidR="001C2073" w:rsidRPr="001C2073">
        <w:rPr>
          <w:rStyle w:val="Nervous9Char"/>
        </w:rPr>
        <w:t>preparation for regeneration</w:t>
      </w:r>
      <w:r w:rsidR="001C2073">
        <w:t>!</w:t>
      </w:r>
      <w:r>
        <w:t>:</w:t>
      </w:r>
    </w:p>
    <w:tbl>
      <w:tblPr>
        <w:tblW w:w="10314" w:type="dxa"/>
        <w:tblLook w:val="0000" w:firstRow="0" w:lastRow="0" w:firstColumn="0" w:lastColumn="0" w:noHBand="0" w:noVBand="0"/>
      </w:tblPr>
      <w:tblGrid>
        <w:gridCol w:w="4458"/>
        <w:gridCol w:w="5856"/>
      </w:tblGrid>
      <w:tr w:rsidR="005F4E57">
        <w:tc>
          <w:tcPr>
            <w:tcW w:w="4503" w:type="dxa"/>
            <w:vAlign w:val="center"/>
          </w:tcPr>
          <w:p w:rsidR="005F4E57" w:rsidRDefault="005F4E57">
            <w:pPr>
              <w:numPr>
                <w:ilvl w:val="2"/>
                <w:numId w:val="3"/>
              </w:numPr>
            </w:pPr>
            <w:r>
              <w:rPr>
                <w:b/>
                <w:bCs/>
                <w:color w:val="0000FF"/>
              </w:rPr>
              <w:t>cytoplasm swelling</w:t>
            </w:r>
            <w:r>
              <w:t xml:space="preserve"> (perikaryon volume↑)</w:t>
            </w:r>
          </w:p>
          <w:p w:rsidR="005F4E57" w:rsidRDefault="005F4E57">
            <w:pPr>
              <w:numPr>
                <w:ilvl w:val="2"/>
                <w:numId w:val="3"/>
              </w:numPr>
            </w:pPr>
            <w:r>
              <w:rPr>
                <w:b/>
                <w:bCs/>
                <w:color w:val="0000FF"/>
              </w:rPr>
              <w:t>pallor of Nissl bodies</w:t>
            </w:r>
            <w:r>
              <w:t xml:space="preserve"> (they stain less intensely) – rER is diluted (not dest</w:t>
            </w:r>
            <w:r w:rsidR="00C57A60">
              <w:t>royed!) by cytoplasmic swelling; Nissl substance is seen only at periphery (“central chromatolysis”)</w:t>
            </w:r>
          </w:p>
          <w:p w:rsidR="005F4E57" w:rsidRDefault="005F4E57">
            <w:pPr>
              <w:numPr>
                <w:ilvl w:val="2"/>
                <w:numId w:val="3"/>
              </w:numPr>
            </w:pPr>
            <w:r>
              <w:rPr>
                <w:b/>
                <w:bCs/>
                <w:color w:val="0000FF"/>
              </w:rPr>
              <w:t>nuclear eccentricity</w:t>
            </w:r>
            <w:r>
              <w:t xml:space="preserve"> –</w:t>
            </w:r>
            <w:r w:rsidR="00FC2789">
              <w:t xml:space="preserve"> nucleus is pushed to periphery (opposite to axon hillock) by </w:t>
            </w:r>
            <w:r>
              <w:t>cytoplasmic swelling.</w:t>
            </w:r>
          </w:p>
          <w:p w:rsidR="005F4E57" w:rsidRDefault="005F4E57">
            <w:pPr>
              <w:numPr>
                <w:ilvl w:val="2"/>
                <w:numId w:val="3"/>
              </w:numPr>
            </w:pPr>
            <w:r>
              <w:rPr>
                <w:b/>
                <w:bCs/>
                <w:color w:val="0000FF"/>
              </w:rPr>
              <w:t>nucleolus size increase</w:t>
            </w:r>
            <w:r>
              <w:t>.</w:t>
            </w:r>
          </w:p>
        </w:tc>
        <w:tc>
          <w:tcPr>
            <w:tcW w:w="5811" w:type="dxa"/>
          </w:tcPr>
          <w:p w:rsidR="005F4E57" w:rsidRDefault="00580BEA" w:rsidP="00EE5CED">
            <w:pPr>
              <w:ind w:right="-284"/>
            </w:pPr>
            <w:r>
              <w:rPr>
                <w:noProof/>
              </w:rPr>
              <w:drawing>
                <wp:inline distT="0" distB="0" distL="0" distR="0" wp14:anchorId="0D1AFA48" wp14:editId="5F005CBE">
                  <wp:extent cx="3571875" cy="2447925"/>
                  <wp:effectExtent l="0" t="0" r="9525" b="9525"/>
                  <wp:docPr id="6" name="Picture 6" descr="D:\Viktoro\Neuroscience\A. Neuroscience Basics\A3-5. Neuron, Synapsis, Neurochemistry\00. Pictures\Chromatoly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Viktoro\Neuroscience\A. Neuroscience Basics\A3-5. Neuron, Synapsis, Neurochemistry\00. Pictures\Chromatolys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E57" w:rsidRDefault="005F4E57"/>
    <w:p w:rsidR="005F4E57" w:rsidRDefault="00580BEA">
      <w:pPr>
        <w:spacing w:after="120"/>
        <w:jc w:val="center"/>
      </w:pPr>
      <w:r>
        <w:rPr>
          <w:noProof/>
        </w:rPr>
        <w:drawing>
          <wp:inline distT="0" distB="0" distL="0" distR="0" wp14:anchorId="2BF2D4E5" wp14:editId="1DDE0FF0">
            <wp:extent cx="5076825" cy="3543300"/>
            <wp:effectExtent l="0" t="0" r="9525" b="0"/>
            <wp:docPr id="7" name="Picture 7" descr="D:\Viktoro\Neuroscience\A. Neuroscience Basics\A3-5. Neuron, Synapsis, Neurochemistry\00. Pictures\NA-26 (2-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A. Neuroscience Basics\A3-5. Neuron, Synapsis, Neurochemistry\00. Pictures\NA-26 (2-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E57" w:rsidRDefault="005F4E57" w:rsidP="00B977F4">
      <w:pPr>
        <w:numPr>
          <w:ilvl w:val="1"/>
          <w:numId w:val="3"/>
        </w:numPr>
      </w:pPr>
      <w:r>
        <w:t xml:space="preserve">production of neurotransmitter decreases, but increases for RNA and elements required for </w:t>
      </w:r>
      <w:r>
        <w:rPr>
          <w:noProof/>
        </w:rPr>
        <w:t xml:space="preserve">axon </w:t>
      </w:r>
      <w:r>
        <w:t>synthesis.</w:t>
      </w:r>
    </w:p>
    <w:p w:rsidR="005F4E57" w:rsidRDefault="005F4E57" w:rsidP="00B977F4">
      <w:pPr>
        <w:numPr>
          <w:ilvl w:val="1"/>
          <w:numId w:val="3"/>
        </w:numPr>
      </w:pPr>
      <w:r>
        <w:t>presynaptic terminals gradually withdraw from such soma and dendrites (synaptic transmission is reduced).</w:t>
      </w:r>
    </w:p>
    <w:p w:rsidR="005F4E57" w:rsidRDefault="005F4E57"/>
    <w:p w:rsidR="007B4541" w:rsidRDefault="00580BEA" w:rsidP="007B4541">
      <w:pPr>
        <w:ind w:left="1440"/>
      </w:pPr>
      <w:r>
        <w:rPr>
          <w:noProof/>
        </w:rPr>
        <w:drawing>
          <wp:inline distT="0" distB="0" distL="0" distR="0" wp14:anchorId="6B162D3F" wp14:editId="4CD2B988">
            <wp:extent cx="4181475" cy="2990850"/>
            <wp:effectExtent l="0" t="0" r="9525" b="0"/>
            <wp:docPr id="8" name="Picture 8" descr="D:\Viktoro\Neuroscience\A. Neuroscience Basics\A3-5. Neuron, Synapsis, Neurochemistry\00. Pictures\Perikaryon re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A. Neuroscience Basics\A3-5. Neuron, Synapsis, Neurochemistry\00. Pictures\Perikaryon reac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77" w:rsidRDefault="00A27377" w:rsidP="007B4541">
      <w:pPr>
        <w:ind w:left="1440"/>
      </w:pPr>
    </w:p>
    <w:p w:rsidR="005F4E57" w:rsidRDefault="005F4E57"/>
    <w:p w:rsidR="005F4E57" w:rsidRDefault="005F4E57">
      <w:pPr>
        <w:numPr>
          <w:ilvl w:val="0"/>
          <w:numId w:val="3"/>
        </w:numPr>
        <w:rPr>
          <w:color w:val="FFFF99"/>
        </w:rPr>
      </w:pPr>
      <w:r>
        <w:rPr>
          <w:b/>
          <w:bCs/>
          <w:smallCaps/>
          <w:color w:val="FFFF99"/>
          <w:highlight w:val="black"/>
        </w:rPr>
        <w:t>Distal degeneration (</w:t>
      </w:r>
      <w:r>
        <w:rPr>
          <w:b/>
          <w:bCs/>
          <w:color w:val="FFFF99"/>
          <w:highlight w:val="black"/>
        </w:rPr>
        <w:t>s</w:t>
      </w:r>
      <w:r>
        <w:rPr>
          <w:b/>
          <w:bCs/>
          <w:smallCaps/>
          <w:color w:val="FFFF99"/>
          <w:highlight w:val="black"/>
        </w:rPr>
        <w:t>. distal axonopathy, “dying back”)</w:t>
      </w:r>
    </w:p>
    <w:p w:rsidR="005F4E57" w:rsidRDefault="005F4E57">
      <w:r>
        <w:t xml:space="preserve">- occurs when neuron metabolic machinery is disrupted; </w:t>
      </w:r>
      <w:r w:rsidRPr="00580BEA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most distal parts</w:t>
      </w:r>
      <w:r>
        <w:t xml:space="preserve"> begin to degenerate</w:t>
      </w:r>
      <w:r w:rsidR="006B5632">
        <w:t>.</w:t>
      </w:r>
    </w:p>
    <w:p w:rsidR="005F4E57" w:rsidRDefault="005F4E57">
      <w:pPr>
        <w:rPr>
          <w:color w:val="FFFF99"/>
        </w:rPr>
      </w:pPr>
    </w:p>
    <w:p w:rsidR="005F4E57" w:rsidRDefault="005F4E57">
      <w:pPr>
        <w:rPr>
          <w:color w:val="FFFF99"/>
        </w:rPr>
      </w:pPr>
    </w:p>
    <w:p w:rsidR="005F4E57" w:rsidRDefault="005F4E57">
      <w:pPr>
        <w:numPr>
          <w:ilvl w:val="0"/>
          <w:numId w:val="3"/>
        </w:numPr>
        <w:rPr>
          <w:color w:val="FFFF99"/>
        </w:rPr>
      </w:pPr>
      <w:bookmarkStart w:id="2" w:name="Regeneration"/>
      <w:r>
        <w:rPr>
          <w:b/>
          <w:bCs/>
          <w:smallCaps/>
          <w:color w:val="FFFF99"/>
          <w:highlight w:val="black"/>
        </w:rPr>
        <w:t>Regeneration</w:t>
      </w:r>
      <w:bookmarkEnd w:id="2"/>
    </w:p>
    <w:p w:rsidR="005F4E57" w:rsidRDefault="005F4E57" w:rsidP="006B5632">
      <w:pPr>
        <w:spacing w:before="120"/>
      </w:pPr>
      <w:r>
        <w:rPr>
          <w:b/>
          <w:bCs/>
          <w:smallCaps/>
          <w:u w:val="single"/>
        </w:rPr>
        <w:t>neurons</w:t>
      </w:r>
      <w:r>
        <w:t xml:space="preserve"> are postmitotic cells incapable of cell division - </w:t>
      </w:r>
      <w:r>
        <w:rPr>
          <w:b/>
          <w:bCs/>
          <w:color w:val="CC3300"/>
        </w:rPr>
        <w:t>mature neurons do not multiply</w:t>
      </w:r>
      <w:r>
        <w:t>, except:</w:t>
      </w:r>
    </w:p>
    <w:p w:rsidR="005F4E57" w:rsidRDefault="005F4E57" w:rsidP="006B5632">
      <w:pPr>
        <w:numPr>
          <w:ilvl w:val="0"/>
          <w:numId w:val="14"/>
        </w:numPr>
      </w:pPr>
      <w:r>
        <w:t>olfactory receptor cells</w:t>
      </w:r>
    </w:p>
    <w:p w:rsidR="005F4E57" w:rsidRDefault="005F4E57" w:rsidP="006B5632">
      <w:pPr>
        <w:numPr>
          <w:ilvl w:val="0"/>
          <w:numId w:val="14"/>
        </w:numPr>
      </w:pPr>
      <w:r>
        <w:t>ganglion cells in enteric NS</w:t>
      </w:r>
    </w:p>
    <w:p w:rsidR="005F4E57" w:rsidRDefault="005F4E57" w:rsidP="006B5632">
      <w:pPr>
        <w:numPr>
          <w:ilvl w:val="0"/>
          <w:numId w:val="14"/>
        </w:numPr>
      </w:pPr>
      <w:r>
        <w:t>neuroepithelial cells of taste buds</w:t>
      </w:r>
    </w:p>
    <w:p w:rsidR="005F4E57" w:rsidRDefault="005F4E57" w:rsidP="006B5632">
      <w:pPr>
        <w:spacing w:before="120"/>
      </w:pPr>
      <w:r>
        <w:rPr>
          <w:b/>
          <w:bCs/>
          <w:smallCaps/>
          <w:u w:val="single"/>
        </w:rPr>
        <w:t>proximal axonal stump</w:t>
      </w:r>
      <w:r>
        <w:t xml:space="preserve"> (vs. </w:t>
      </w:r>
      <w:r>
        <w:rPr>
          <w:b/>
          <w:bCs/>
          <w:smallCaps/>
        </w:rPr>
        <w:t>perikaryon</w:t>
      </w:r>
      <w:r>
        <w:t>) may regenerate and establish synaptic connection.</w:t>
      </w:r>
    </w:p>
    <w:p w:rsidR="005F4E57" w:rsidRDefault="005F4E57" w:rsidP="006B5632">
      <w:pPr>
        <w:spacing w:before="120"/>
        <w:ind w:left="1157"/>
      </w:pPr>
      <w:r>
        <w:rPr>
          <w:b/>
          <w:bCs/>
          <w:highlight w:val="yellow"/>
        </w:rPr>
        <w:t>PNS</w:t>
      </w:r>
      <w:r>
        <w:t xml:space="preserve"> – </w:t>
      </w:r>
      <w:r>
        <w:rPr>
          <w:u w:val="single"/>
        </w:rPr>
        <w:t>regeneruoti gali ir motoriniai, ir sensoriniai aksonai</w:t>
      </w:r>
      <w:r>
        <w:t>:</w:t>
      </w:r>
      <w:r>
        <w:tab/>
      </w:r>
      <w:hyperlink r:id="rId16" w:history="1">
        <w:r w:rsidR="007E6182" w:rsidRPr="007E6182">
          <w:rPr>
            <w:rStyle w:val="Hyperlink"/>
          </w:rPr>
          <w:t xml:space="preserve">also </w:t>
        </w:r>
        <w:r w:rsidRPr="007E6182">
          <w:rPr>
            <w:rStyle w:val="Hyperlink"/>
          </w:rPr>
          <w:t xml:space="preserve">see </w:t>
        </w:r>
        <w:r w:rsidR="007E6182" w:rsidRPr="007E6182">
          <w:rPr>
            <w:rStyle w:val="Hyperlink"/>
          </w:rPr>
          <w:t xml:space="preserve">p. </w:t>
        </w:r>
        <w:r w:rsidRPr="007E6182">
          <w:rPr>
            <w:rStyle w:val="Hyperlink"/>
          </w:rPr>
          <w:t xml:space="preserve">PN7 </w:t>
        </w:r>
        <w:r w:rsidR="007E6182" w:rsidRPr="007E6182">
          <w:rPr>
            <w:rStyle w:val="Hyperlink"/>
          </w:rPr>
          <w:t>&gt;&gt;</w:t>
        </w:r>
      </w:hyperlink>
    </w:p>
    <w:p w:rsidR="005F4E57" w:rsidRDefault="005F4E57" w:rsidP="006B5632">
      <w:pPr>
        <w:numPr>
          <w:ilvl w:val="0"/>
          <w:numId w:val="13"/>
        </w:numPr>
      </w:pPr>
      <w:r>
        <w:t xml:space="preserve">įvykus wallerian degeneration, švanocitai nežūva (nors mielinas suyra!) – proliferuoja ir sudaro </w:t>
      </w:r>
      <w:r>
        <w:rPr>
          <w:b/>
          <w:bCs/>
          <w:color w:val="0000FF"/>
        </w:rPr>
        <w:t>guiding Schwann tubes</w:t>
      </w:r>
      <w:r>
        <w:t>.</w:t>
      </w:r>
    </w:p>
    <w:p w:rsidR="005F4E57" w:rsidRDefault="005F4E57" w:rsidP="006B5632">
      <w:pPr>
        <w:numPr>
          <w:ilvl w:val="0"/>
          <w:numId w:val="13"/>
        </w:numPr>
      </w:pPr>
      <w:r>
        <w:t xml:space="preserve">ties jung. audinio randu (jeigu jis nestoras) švanocitai pasidaugina ir formuoja </w:t>
      </w:r>
      <w:r>
        <w:rPr>
          <w:b/>
          <w:bCs/>
          <w:color w:val="0000FF"/>
        </w:rPr>
        <w:t>guiding cellular bridges</w:t>
      </w:r>
      <w:r>
        <w:t xml:space="preserve"> (</w:t>
      </w:r>
      <w:r w:rsidR="00FC2789" w:rsidRPr="00F927C4">
        <w:rPr>
          <w:b/>
          <w:smallCaps/>
          <w:color w:val="008000"/>
        </w:rPr>
        <w:t>Büngner’s</w:t>
      </w:r>
      <w:r w:rsidRPr="00F927C4">
        <w:rPr>
          <w:b/>
          <w:color w:val="008000"/>
        </w:rPr>
        <w:t xml:space="preserve"> bands</w:t>
      </w:r>
      <w:r>
        <w:t>) link proximal stump.</w:t>
      </w:r>
    </w:p>
    <w:p w:rsidR="00F927C4" w:rsidRPr="00F927C4" w:rsidRDefault="00FC2789" w:rsidP="00F927C4">
      <w:pPr>
        <w:ind w:left="2880"/>
      </w:pPr>
      <w:r w:rsidRPr="00F927C4">
        <w:rPr>
          <w:b/>
          <w:smallCaps/>
          <w:color w:val="008000"/>
        </w:rPr>
        <w:t>Büngner’s</w:t>
      </w:r>
      <w:r w:rsidR="00F927C4" w:rsidRPr="00F927C4">
        <w:rPr>
          <w:b/>
          <w:color w:val="008000"/>
        </w:rPr>
        <w:t xml:space="preserve"> bands</w:t>
      </w:r>
      <w:r w:rsidR="00F927C4" w:rsidRPr="00F927C4">
        <w:t xml:space="preserve">: basal lamina lined endoneurial tubes, enclosing columns of proliferating </w:t>
      </w:r>
      <w:r w:rsidR="00F927C4">
        <w:t>Schwann cells.</w:t>
      </w:r>
    </w:p>
    <w:p w:rsidR="005F4E57" w:rsidRDefault="005F4E57" w:rsidP="00E705F0">
      <w:pPr>
        <w:numPr>
          <w:ilvl w:val="0"/>
          <w:numId w:val="13"/>
        </w:numPr>
      </w:pPr>
      <w:r>
        <w:rPr>
          <w:smallCaps/>
        </w:rPr>
        <w:t>axonal sprouting</w:t>
      </w:r>
      <w:r>
        <w:t xml:space="preserve"> – 24 val. post injury bėgyje iš proximal stump išauga daug naujų nemielinizuotų </w:t>
      </w:r>
      <w:r w:rsidR="00592D29" w:rsidRPr="00592D29">
        <w:t xml:space="preserve">sprouts </w:t>
      </w:r>
      <w:r w:rsidR="00592D29">
        <w:t>(neurites); e</w:t>
      </w:r>
      <w:r w:rsidR="00592D29" w:rsidRPr="00592D29">
        <w:t>nd</w:t>
      </w:r>
      <w:r w:rsidR="00592D29">
        <w:t>s</w:t>
      </w:r>
      <w:r w:rsidR="00592D29" w:rsidRPr="00592D29">
        <w:t xml:space="preserve"> of sprouts (growth cones)</w:t>
      </w:r>
      <w:r w:rsidR="00592D29">
        <w:t xml:space="preserve"> </w:t>
      </w:r>
      <w:r w:rsidR="00592D29" w:rsidRPr="00592D29">
        <w:t>“sample” environment, responding positively to facilitatory molecular cues and negatively to inhibitory ones</w:t>
      </w:r>
      <w:r w:rsidR="00592D29">
        <w:t>; s</w:t>
      </w:r>
      <w:r w:rsidR="00592D29" w:rsidRPr="00592D29">
        <w:t>everal sprouts per cut axon elongate</w:t>
      </w:r>
      <w:r w:rsidR="00592D29">
        <w:t xml:space="preserve"> and </w:t>
      </w:r>
      <w:r w:rsidR="00E705F0">
        <w:t>c</w:t>
      </w:r>
      <w:r w:rsidR="00E705F0" w:rsidRPr="00E705F0">
        <w:t>ompet</w:t>
      </w:r>
      <w:r w:rsidR="00E705F0">
        <w:t>e</w:t>
      </w:r>
      <w:r w:rsidR="00F75EBF">
        <w:t xml:space="preserve"> for distal stump and end-organ; </w:t>
      </w:r>
      <w:r>
        <w:t>vienas iš jų pataiko į švanocitų kanalą, kiti degeneruoja;</w:t>
      </w:r>
      <w:r w:rsidR="00B2159F">
        <w:t xml:space="preserve"> 1 axon can abnormally reinnervate 3-4 end-cells.</w:t>
      </w:r>
    </w:p>
    <w:p w:rsidR="005F4E57" w:rsidRDefault="005F4E57" w:rsidP="006B5632">
      <w:pPr>
        <w:ind w:left="2880"/>
      </w:pPr>
      <w:r>
        <w:t>Presence of multiple, closely aggregated, thinly myelinated small-caliber axons is evidence of regeneration (</w:t>
      </w:r>
      <w:r>
        <w:rPr>
          <w:b/>
          <w:bCs/>
          <w:i/>
          <w:iCs/>
        </w:rPr>
        <w:t>regenerating cluster</w:t>
      </w:r>
      <w:r>
        <w:t>).</w:t>
      </w:r>
    </w:p>
    <w:p w:rsidR="005F4E57" w:rsidRDefault="005F4E57" w:rsidP="006B5632">
      <w:pPr>
        <w:numPr>
          <w:ilvl w:val="0"/>
          <w:numId w:val="13"/>
        </w:numPr>
      </w:pPr>
      <w:r>
        <w:rPr>
          <w:i/>
          <w:iCs/>
          <w:color w:val="FF0000"/>
        </w:rPr>
        <w:t>axon regrowth is slow process</w:t>
      </w:r>
      <w:r>
        <w:t xml:space="preserve"> (limited by slow component of axonal transport, movement of tubulin, actin, intermediate filaments):</w:t>
      </w:r>
    </w:p>
    <w:p w:rsidR="005F4E57" w:rsidRDefault="005F4E57" w:rsidP="006B5632">
      <w:pPr>
        <w:numPr>
          <w:ilvl w:val="1"/>
          <w:numId w:val="13"/>
        </w:numPr>
      </w:pPr>
      <w:r>
        <w:t xml:space="preserve">several days ÷ weeks are required for </w:t>
      </w:r>
      <w:r>
        <w:rPr>
          <w:noProof/>
        </w:rPr>
        <w:t xml:space="preserve">axon </w:t>
      </w:r>
      <w:r>
        <w:t>to cross site of anastomosis.</w:t>
      </w:r>
    </w:p>
    <w:p w:rsidR="005F4E57" w:rsidRDefault="005F4E57" w:rsidP="006B5632">
      <w:pPr>
        <w:numPr>
          <w:ilvl w:val="1"/>
          <w:numId w:val="13"/>
        </w:numPr>
      </w:pPr>
      <w:r>
        <w:rPr>
          <w:color w:val="000000"/>
        </w:rPr>
        <w:t xml:space="preserve">once </w:t>
      </w:r>
      <w:r>
        <w:rPr>
          <w:noProof/>
          <w:color w:val="000000"/>
        </w:rPr>
        <w:t xml:space="preserve">axons </w:t>
      </w:r>
      <w:r>
        <w:rPr>
          <w:color w:val="000000"/>
        </w:rPr>
        <w:t xml:space="preserve">reach distal nerve sheath, regeneration occurs at </w:t>
      </w:r>
      <w:r>
        <w:rPr>
          <w:color w:val="000000"/>
          <w:highlight w:val="cyan"/>
        </w:rPr>
        <w:t>1-1.5 mm/d</w:t>
      </w:r>
      <w:r>
        <w:rPr>
          <w:color w:val="000000"/>
        </w:rPr>
        <w:t xml:space="preserve"> (</w:t>
      </w:r>
      <w:r>
        <w:rPr>
          <w:noProof/>
          <w:color w:val="000000"/>
        </w:rPr>
        <w:t xml:space="preserve">axon </w:t>
      </w:r>
      <w:r>
        <w:rPr>
          <w:color w:val="000000"/>
        </w:rPr>
        <w:t>regeneration near cell body is more rapid than regeneration at greater distances).</w:t>
      </w:r>
    </w:p>
    <w:p w:rsidR="005F4E57" w:rsidRDefault="005F4E57" w:rsidP="006B5632">
      <w:pPr>
        <w:numPr>
          <w:ilvl w:val="0"/>
          <w:numId w:val="13"/>
        </w:numPr>
      </w:pPr>
      <w:r>
        <w:rPr>
          <w:color w:val="000000"/>
        </w:rPr>
        <w:t xml:space="preserve">if transected nerve is </w:t>
      </w:r>
      <w:r>
        <w:rPr>
          <w:b/>
          <w:bCs/>
          <w:i/>
          <w:iCs/>
          <w:color w:val="000000"/>
        </w:rPr>
        <w:t>not anastomosed</w:t>
      </w:r>
      <w:r>
        <w:rPr>
          <w:color w:val="000000"/>
        </w:rPr>
        <w:t>,</w:t>
      </w:r>
      <w:r>
        <w:rPr>
          <w:noProof/>
          <w:color w:val="000000"/>
        </w:rPr>
        <w:t xml:space="preserve"> axons </w:t>
      </w:r>
      <w:r>
        <w:rPr>
          <w:color w:val="000000"/>
        </w:rPr>
        <w:t>will grow into surrounding tissue - recovery will be slow and rarely functional</w:t>
      </w:r>
      <w:r>
        <w:t>; axons only rarely reach their appropriate end organ, more often they are misdirected (</w:t>
      </w:r>
      <w:r>
        <w:rPr>
          <w:i/>
          <w:iCs/>
          <w:smallCaps/>
          <w:color w:val="FF0000"/>
        </w:rPr>
        <w:t>aberrant innervation</w:t>
      </w:r>
      <w:r>
        <w:t>).</w:t>
      </w:r>
    </w:p>
    <w:p w:rsidR="005F4E57" w:rsidRDefault="005F4E57" w:rsidP="006B5632">
      <w:pPr>
        <w:numPr>
          <w:ilvl w:val="0"/>
          <w:numId w:val="13"/>
        </w:numPr>
      </w:pPr>
      <w:r>
        <w:t xml:space="preserve">if </w:t>
      </w:r>
      <w:r>
        <w:rPr>
          <w:b/>
          <w:bCs/>
          <w:i/>
          <w:iCs/>
        </w:rPr>
        <w:t>connective tissue scar</w:t>
      </w:r>
      <w:r>
        <w:t xml:space="preserve"> is extensive, švanocitai, negalėdami jo penetruoti, kartu su neuritais formuoja ekstraepineurinę proliferacinę masę – painful </w:t>
      </w:r>
      <w:r>
        <w:rPr>
          <w:b/>
          <w:bCs/>
          <w:smallCaps/>
          <w:color w:val="FF0000"/>
        </w:rPr>
        <w:t>traumatic neuroma</w:t>
      </w:r>
      <w:r>
        <w:t xml:space="preserve">. (H: good surgical apposition). </w:t>
      </w:r>
      <w:r>
        <w:rPr>
          <w:color w:val="808080"/>
        </w:rPr>
        <w:t>see PN7 p.</w:t>
      </w:r>
    </w:p>
    <w:p w:rsidR="005F4E57" w:rsidRDefault="005F4E57" w:rsidP="006B5632">
      <w:pPr>
        <w:numPr>
          <w:ilvl w:val="1"/>
          <w:numId w:val="13"/>
        </w:numPr>
      </w:pPr>
      <w:r>
        <w:t xml:space="preserve">this scar difficulty has been experimentally reduced by administration of </w:t>
      </w:r>
      <w:r>
        <w:rPr>
          <w:b/>
          <w:bCs/>
        </w:rPr>
        <w:t>neurotrophins</w:t>
      </w:r>
      <w:r>
        <w:t xml:space="preserve"> (e.g. nerve growth factor, neurotrophin-3, glial cell line-derived neurotrophic factor).</w:t>
      </w:r>
    </w:p>
    <w:p w:rsidR="005F4E57" w:rsidRDefault="005F4E57" w:rsidP="006B5632">
      <w:pPr>
        <w:numPr>
          <w:ilvl w:val="0"/>
          <w:numId w:val="13"/>
        </w:numPr>
      </w:pPr>
      <w:r>
        <w:t xml:space="preserve">myocytes may also be reinnervated by neighboring normal axons. </w:t>
      </w:r>
      <w:r>
        <w:rPr>
          <w:color w:val="808080"/>
        </w:rPr>
        <w:t>see D30 p.</w:t>
      </w:r>
    </w:p>
    <w:p w:rsidR="005F4E57" w:rsidRDefault="005F4E57" w:rsidP="006B5632">
      <w:pPr>
        <w:numPr>
          <w:ilvl w:val="0"/>
          <w:numId w:val="13"/>
        </w:numPr>
      </w:pPr>
      <w:r>
        <w:rPr>
          <w:i/>
          <w:iCs/>
          <w:color w:val="000000"/>
        </w:rPr>
        <w:t>cutaneous sensation</w:t>
      </w:r>
      <w:r>
        <w:rPr>
          <w:color w:val="000000"/>
        </w:rPr>
        <w:t xml:space="preserve"> has greater potential for recovery from </w:t>
      </w:r>
      <w:r>
        <w:rPr>
          <w:noProof/>
          <w:color w:val="000000"/>
        </w:rPr>
        <w:t xml:space="preserve">denervation </w:t>
      </w:r>
      <w:r>
        <w:rPr>
          <w:color w:val="000000"/>
        </w:rPr>
        <w:t xml:space="preserve">than does </w:t>
      </w:r>
      <w:r>
        <w:rPr>
          <w:i/>
          <w:iCs/>
          <w:color w:val="000000"/>
        </w:rPr>
        <w:t>motor function</w:t>
      </w:r>
      <w:r>
        <w:rPr>
          <w:color w:val="000000"/>
        </w:rPr>
        <w:t xml:space="preserve"> (nonnervous elements of skin receptors survive and may be reinnervated years after </w:t>
      </w:r>
      <w:r>
        <w:rPr>
          <w:noProof/>
          <w:color w:val="000000"/>
        </w:rPr>
        <w:t>denervation!).</w:t>
      </w:r>
    </w:p>
    <w:p w:rsidR="005F4E57" w:rsidRDefault="005F4E57" w:rsidP="006B5632">
      <w:pPr>
        <w:numPr>
          <w:ilvl w:val="0"/>
          <w:numId w:val="13"/>
        </w:numPr>
      </w:pPr>
      <w:r>
        <w:rPr>
          <w:color w:val="000000"/>
        </w:rPr>
        <w:t>transplanted skin can be reinnervated (recovery begins at edges and proceeds toward graft center); transplanted digits may develop nearly normal sensation!</w:t>
      </w:r>
    </w:p>
    <w:p w:rsidR="005F4E57" w:rsidRDefault="005F4E57" w:rsidP="006B0F18">
      <w:pPr>
        <w:spacing w:before="120"/>
        <w:ind w:left="1157"/>
      </w:pPr>
      <w:r>
        <w:rPr>
          <w:b/>
          <w:bCs/>
          <w:highlight w:val="yellow"/>
        </w:rPr>
        <w:t>CNS</w:t>
      </w:r>
      <w:r>
        <w:t xml:space="preserve"> – </w:t>
      </w:r>
      <w:r>
        <w:rPr>
          <w:u w:val="single"/>
        </w:rPr>
        <w:t>axons do not (!) regenerate effectively</w:t>
      </w:r>
      <w:r>
        <w:t xml:space="preserve"> – tam trukdo </w:t>
      </w:r>
      <w:r>
        <w:rPr>
          <w:b/>
          <w:bCs/>
          <w:i/>
          <w:iCs/>
        </w:rPr>
        <w:t>astrocitinis randas</w:t>
      </w:r>
      <w:r>
        <w:t xml:space="preserve">, </w:t>
      </w:r>
      <w:r w:rsidR="006B0F18" w:rsidRPr="006B0F18">
        <w:rPr>
          <w:b/>
          <w:i/>
        </w:rPr>
        <w:t>myelin-associated inhibitory molecules</w:t>
      </w:r>
      <w:r w:rsidR="006B0F18">
        <w:t xml:space="preserve"> + </w:t>
      </w:r>
      <w:r w:rsidR="006B0F18">
        <w:rPr>
          <w:b/>
          <w:i/>
        </w:rPr>
        <w:t>absent</w:t>
      </w:r>
      <w:r w:rsidRPr="006B0F18">
        <w:rPr>
          <w:b/>
          <w:i/>
        </w:rPr>
        <w:t xml:space="preserve"> guiding bridges</w:t>
      </w:r>
      <w:r>
        <w:t xml:space="preserve"> and tubes (as in PNS).</w:t>
      </w:r>
    </w:p>
    <w:p w:rsidR="005F4E57" w:rsidRDefault="005F4E57">
      <w:pPr>
        <w:pStyle w:val="Header"/>
        <w:tabs>
          <w:tab w:val="clear" w:pos="4320"/>
        </w:tabs>
      </w:pPr>
    </w:p>
    <w:p w:rsidR="005F4E57" w:rsidRDefault="005F4E57" w:rsidP="006B5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57" w:right="1984"/>
      </w:pPr>
      <w:r>
        <w:rPr>
          <w:b/>
          <w:bCs/>
          <w:color w:val="008000"/>
        </w:rPr>
        <w:t>Axon regeneration</w:t>
      </w:r>
      <w:r>
        <w:t xml:space="preserve"> is slow process, vs. </w:t>
      </w:r>
      <w:r>
        <w:rPr>
          <w:b/>
          <w:bCs/>
          <w:color w:val="008000"/>
        </w:rPr>
        <w:t>remyelination</w:t>
      </w:r>
      <w:r>
        <w:t xml:space="preserve"> – quite rapid!</w:t>
      </w:r>
    </w:p>
    <w:p w:rsidR="005F4E57" w:rsidRPr="006B5632" w:rsidRDefault="005F4E57" w:rsidP="006B5632">
      <w:pPr>
        <w:jc w:val="right"/>
        <w:rPr>
          <w:color w:val="999999"/>
        </w:rPr>
      </w:pPr>
      <w:r w:rsidRPr="006B5632">
        <w:rPr>
          <w:color w:val="999999"/>
        </w:rPr>
        <w:t>see A46 (5a)!</w:t>
      </w:r>
    </w:p>
    <w:p w:rsidR="005F4E57" w:rsidRDefault="005F4E57" w:rsidP="006B5632"/>
    <w:p w:rsidR="005F4E57" w:rsidRDefault="005F4E57">
      <w:pPr>
        <w:numPr>
          <w:ilvl w:val="0"/>
          <w:numId w:val="3"/>
        </w:numPr>
        <w:rPr>
          <w:color w:val="FFFF99"/>
        </w:rPr>
      </w:pPr>
      <w:r>
        <w:rPr>
          <w:b/>
          <w:bCs/>
          <w:smallCaps/>
          <w:color w:val="FFFF99"/>
          <w:highlight w:val="black"/>
        </w:rPr>
        <w:t xml:space="preserve">Transplantation of embryonic </w:t>
      </w:r>
      <w:r w:rsidR="00A73ECC" w:rsidRPr="00A73ECC">
        <w:rPr>
          <w:b/>
          <w:bCs/>
          <w:smallCaps/>
          <w:color w:val="FFFF99"/>
          <w:highlight w:val="black"/>
        </w:rPr>
        <w:t>stem cells</w:t>
      </w:r>
    </w:p>
    <w:p w:rsidR="005F4E57" w:rsidRDefault="005F4E57">
      <w:pPr>
        <w:numPr>
          <w:ilvl w:val="0"/>
          <w:numId w:val="5"/>
        </w:numPr>
      </w:pPr>
      <w:r>
        <w:t xml:space="preserve">gali prigyti – </w:t>
      </w:r>
      <w:r>
        <w:rPr>
          <w:smallCaps/>
        </w:rPr>
        <w:t>functional regeneration</w:t>
      </w:r>
      <w:r>
        <w:t xml:space="preserve"> in CNS.</w:t>
      </w:r>
    </w:p>
    <w:p w:rsidR="005F4E57" w:rsidRDefault="005F4E57">
      <w:pPr>
        <w:numPr>
          <w:ilvl w:val="0"/>
          <w:numId w:val="5"/>
        </w:numPr>
      </w:pPr>
      <w:r>
        <w:t>moralės ir etikos klausimai.</w:t>
      </w:r>
    </w:p>
    <w:p w:rsidR="005F4E57" w:rsidRDefault="005F4E57"/>
    <w:p w:rsidR="005F4E57" w:rsidRDefault="005F4E57"/>
    <w:p w:rsidR="005F4E57" w:rsidRDefault="005F4E57">
      <w:pPr>
        <w:numPr>
          <w:ilvl w:val="0"/>
          <w:numId w:val="3"/>
        </w:numPr>
        <w:rPr>
          <w:color w:val="FFFF99"/>
        </w:rPr>
      </w:pPr>
      <w:r>
        <w:rPr>
          <w:b/>
          <w:bCs/>
          <w:smallCaps/>
          <w:color w:val="FFFF99"/>
          <w:highlight w:val="black"/>
        </w:rPr>
        <w:t>Direct neuronal death</w:t>
      </w:r>
    </w:p>
    <w:p w:rsidR="005F4E57" w:rsidRDefault="005F4E57">
      <w:pPr>
        <w:numPr>
          <w:ilvl w:val="0"/>
          <w:numId w:val="6"/>
        </w:numPr>
      </w:pPr>
      <w:r>
        <w:t>pažeidus metabolic machinery in perikaryon – žūva visas neuronas.</w:t>
      </w:r>
    </w:p>
    <w:p w:rsidR="005F4E57" w:rsidRDefault="005F4E57"/>
    <w:p w:rsidR="005F4E57" w:rsidRDefault="005F4E57"/>
    <w:p w:rsidR="005F4E57" w:rsidRDefault="005F4E57">
      <w:pPr>
        <w:numPr>
          <w:ilvl w:val="0"/>
          <w:numId w:val="3"/>
        </w:numPr>
        <w:rPr>
          <w:color w:val="FFFF99"/>
        </w:rPr>
      </w:pPr>
      <w:r>
        <w:rPr>
          <w:b/>
          <w:bCs/>
          <w:smallCaps/>
          <w:color w:val="FFFF99"/>
          <w:highlight w:val="black"/>
        </w:rPr>
        <w:t>Trans-synaptic neuronal death</w:t>
      </w:r>
    </w:p>
    <w:p w:rsidR="005F4E57" w:rsidRDefault="005F4E57">
      <w:pPr>
        <w:numPr>
          <w:ilvl w:val="0"/>
          <w:numId w:val="6"/>
        </w:numPr>
      </w:pPr>
      <w:r>
        <w:t xml:space="preserve">if one neuron dies, next cell in line may undergo </w:t>
      </w:r>
      <w:r>
        <w:rPr>
          <w:smallCaps/>
        </w:rPr>
        <w:t>degeneration</w:t>
      </w:r>
      <w:r>
        <w:t xml:space="preserve"> if it has no (or few) other sources of afferent fibers:</w:t>
      </w:r>
    </w:p>
    <w:p w:rsidR="005F4E57" w:rsidRDefault="005F4E57">
      <w:pPr>
        <w:numPr>
          <w:ilvl w:val="1"/>
          <w:numId w:val="6"/>
        </w:numPr>
      </w:pPr>
      <w:r>
        <w:rPr>
          <w:b/>
          <w:bCs/>
          <w:highlight w:val="yellow"/>
        </w:rPr>
        <w:t>in CNS</w:t>
      </w:r>
      <w:r>
        <w:t xml:space="preserve"> – labai retas reiškinys, nes neuronai multipoliniai; </w:t>
      </w:r>
      <w:r>
        <w:rPr>
          <w:sz w:val="22"/>
        </w:rPr>
        <w:t>pvz. eye enucleation → degeneruoja lateral geniculate body → išnyksta Gennari linija in calcarine cortex (o kartais atrofuoja ir pati area 17)</w:t>
      </w:r>
    </w:p>
    <w:p w:rsidR="005F4E57" w:rsidRDefault="005F4E57">
      <w:pPr>
        <w:numPr>
          <w:ilvl w:val="1"/>
          <w:numId w:val="6"/>
        </w:numPr>
      </w:pPr>
      <w:r>
        <w:rPr>
          <w:b/>
          <w:bCs/>
          <w:highlight w:val="yellow"/>
        </w:rPr>
        <w:t>in PNS</w:t>
      </w:r>
      <w:r>
        <w:t xml:space="preserve"> – denervuota liauka ar raumuo atrofuoja.</w:t>
      </w:r>
    </w:p>
    <w:p w:rsidR="005F4E57" w:rsidRDefault="005F4E57"/>
    <w:p w:rsidR="005F4E57" w:rsidRDefault="005F4E57"/>
    <w:p w:rsidR="005F4E57" w:rsidRDefault="005F4E57">
      <w:pPr>
        <w:numPr>
          <w:ilvl w:val="0"/>
          <w:numId w:val="3"/>
        </w:numPr>
      </w:pPr>
      <w:r>
        <w:rPr>
          <w:b/>
          <w:bCs/>
          <w:smallCaps/>
          <w:color w:val="FFFF99"/>
          <w:highlight w:val="black"/>
        </w:rPr>
        <w:t>Neuronal inclusions</w:t>
      </w:r>
    </w:p>
    <w:p w:rsidR="005F4E57" w:rsidRDefault="005F4E57">
      <w:pPr>
        <w:numPr>
          <w:ilvl w:val="1"/>
          <w:numId w:val="11"/>
        </w:numPr>
        <w:rPr>
          <w:szCs w:val="24"/>
          <w:lang w:val="en-GB"/>
        </w:rPr>
      </w:pPr>
      <w:r>
        <w:rPr>
          <w:b/>
          <w:bCs/>
        </w:rPr>
        <w:t>normal aging</w:t>
      </w:r>
      <w:r>
        <w:t xml:space="preserve"> → intracytoplasmic </w:t>
      </w:r>
      <w:r>
        <w:rPr>
          <w:b/>
          <w:bCs/>
          <w:smallCaps/>
          <w:color w:val="0000FF"/>
        </w:rPr>
        <w:t>lipofuscin</w:t>
      </w:r>
      <w:r>
        <w:t xml:space="preserve"> - residual bodies derived from lysosomes (accumulations of complex lipids, proteins, and carbohydrates).</w:t>
      </w:r>
    </w:p>
    <w:p w:rsidR="005F4E57" w:rsidRDefault="005F4E57" w:rsidP="00CB44FD">
      <w:pPr>
        <w:numPr>
          <w:ilvl w:val="1"/>
          <w:numId w:val="11"/>
        </w:numPr>
        <w:spacing w:before="120"/>
        <w:ind w:left="1417"/>
        <w:rPr>
          <w:szCs w:val="24"/>
          <w:lang w:val="en-GB"/>
        </w:rPr>
      </w:pPr>
      <w:r>
        <w:rPr>
          <w:b/>
          <w:bCs/>
        </w:rPr>
        <w:t>genetic disorders of metabolism</w:t>
      </w:r>
      <w:r>
        <w:t xml:space="preserve"> → intracytoplasmic </w:t>
      </w:r>
      <w:r>
        <w:rPr>
          <w:b/>
          <w:bCs/>
          <w:color w:val="0000FF"/>
        </w:rPr>
        <w:t>substrate or other intermediates</w:t>
      </w:r>
      <w:r>
        <w:t xml:space="preserve"> accumulations.</w:t>
      </w:r>
    </w:p>
    <w:p w:rsidR="005F4E57" w:rsidRDefault="005F4E57" w:rsidP="00CB44FD">
      <w:pPr>
        <w:numPr>
          <w:ilvl w:val="1"/>
          <w:numId w:val="11"/>
        </w:numPr>
        <w:spacing w:before="120"/>
        <w:ind w:left="1417"/>
        <w:rPr>
          <w:szCs w:val="24"/>
          <w:lang w:val="en-GB"/>
        </w:rPr>
      </w:pPr>
      <w:r>
        <w:rPr>
          <w:b/>
          <w:bCs/>
        </w:rPr>
        <w:t>viral diseases</w:t>
      </w:r>
      <w:r>
        <w:t xml:space="preserve"> → </w:t>
      </w:r>
      <w:r w:rsidRPr="00B977F4">
        <w:rPr>
          <w:smallCaps/>
          <w:color w:val="0000FF"/>
        </w:rPr>
        <w:t>intranuclear</w:t>
      </w:r>
      <w:r>
        <w:t xml:space="preserve"> inclusions (e.g. herpetic infection - </w:t>
      </w:r>
      <w:r>
        <w:rPr>
          <w:b/>
          <w:bCs/>
          <w:color w:val="0000FF"/>
        </w:rPr>
        <w:t>Cowdry body</w:t>
      </w:r>
      <w:r>
        <w:t xml:space="preserve">), </w:t>
      </w:r>
      <w:r w:rsidRPr="00B977F4">
        <w:rPr>
          <w:smallCaps/>
          <w:color w:val="0000FF"/>
        </w:rPr>
        <w:t>intracytoplasmic</w:t>
      </w:r>
      <w:r>
        <w:t xml:space="preserve"> inclusions (e.g. rabies - </w:t>
      </w:r>
      <w:r>
        <w:rPr>
          <w:b/>
          <w:bCs/>
          <w:color w:val="0000FF"/>
        </w:rPr>
        <w:t>Negri body</w:t>
      </w:r>
      <w:r>
        <w:t xml:space="preserve">), or </w:t>
      </w:r>
      <w:r w:rsidRPr="00E40858">
        <w:rPr>
          <w:smallCaps/>
          <w:color w:val="0000FF"/>
        </w:rPr>
        <w:t>both</w:t>
      </w:r>
      <w:r>
        <w:t xml:space="preserve"> (cytomegalovirus)</w:t>
      </w:r>
    </w:p>
    <w:p w:rsidR="005F4E57" w:rsidRDefault="005F4E57" w:rsidP="00CB44FD">
      <w:pPr>
        <w:numPr>
          <w:ilvl w:val="1"/>
          <w:numId w:val="11"/>
        </w:numPr>
        <w:spacing w:before="120"/>
        <w:ind w:left="1417"/>
      </w:pPr>
      <w:r>
        <w:rPr>
          <w:b/>
          <w:bCs/>
        </w:rPr>
        <w:t>“proteinopathies”</w:t>
      </w:r>
      <w:r>
        <w:t xml:space="preserve"> - intracellular / extracellular depositions of aggregated / fibrillar proteins that are highly resistant to degradation, contain proteins with altered conformation: </w:t>
      </w:r>
      <w:r>
        <w:rPr>
          <w:b/>
          <w:bCs/>
          <w:color w:val="0000FF"/>
        </w:rPr>
        <w:t>neurofibrillary tangles &amp; amyloid plaques</w:t>
      </w:r>
      <w:r>
        <w:t xml:space="preserve"> of Alzheimer disease, </w:t>
      </w:r>
      <w:r>
        <w:rPr>
          <w:b/>
          <w:bCs/>
          <w:color w:val="0000FF"/>
        </w:rPr>
        <w:t>Lewy bodies</w:t>
      </w:r>
      <w:r>
        <w:t xml:space="preserve"> of Parkinson disease.</w:t>
      </w:r>
    </w:p>
    <w:p w:rsidR="005F4E57" w:rsidRDefault="005F4E57"/>
    <w:p w:rsidR="005F4E57" w:rsidRDefault="005F4E57"/>
    <w:p w:rsidR="005F4E57" w:rsidRDefault="005F4E57">
      <w:pPr>
        <w:numPr>
          <w:ilvl w:val="0"/>
          <w:numId w:val="3"/>
        </w:numPr>
      </w:pPr>
      <w:r>
        <w:rPr>
          <w:b/>
          <w:bCs/>
          <w:smallCaps/>
          <w:color w:val="FFFF99"/>
          <w:highlight w:val="black"/>
        </w:rPr>
        <w:t>Denervation Hypersensitivity</w:t>
      </w:r>
    </w:p>
    <w:p w:rsidR="005F4E57" w:rsidRDefault="005F4E57">
      <w:pPr>
        <w:pStyle w:val="NormalWeb"/>
        <w:ind w:left="340"/>
      </w:pPr>
      <w:r>
        <w:t xml:space="preserve">- </w:t>
      </w:r>
      <w:r>
        <w:rPr>
          <w:b/>
          <w:bCs/>
          <w:color w:val="0000FF"/>
        </w:rPr>
        <w:t>hypersensitivity of postsynaptic structure</w:t>
      </w:r>
      <w:r>
        <w:t xml:space="preserve"> to transmitter previously secreted by damaged axon ending.</w:t>
      </w:r>
    </w:p>
    <w:p w:rsidR="005F4E57" w:rsidRDefault="005F4E57">
      <w:pPr>
        <w:pStyle w:val="NormalWeb"/>
        <w:numPr>
          <w:ilvl w:val="2"/>
          <w:numId w:val="11"/>
        </w:numPr>
      </w:pPr>
      <w:r>
        <w:rPr>
          <w:b/>
          <w:bCs/>
        </w:rPr>
        <w:t>general phenomenon</w:t>
      </w:r>
      <w:r>
        <w:t xml:space="preserve"> - seen in all types of effector cells:</w:t>
      </w:r>
    </w:p>
    <w:p w:rsidR="005F4E57" w:rsidRDefault="005F4E57">
      <w:pPr>
        <w:pStyle w:val="NormalWeb"/>
        <w:numPr>
          <w:ilvl w:val="3"/>
          <w:numId w:val="11"/>
        </w:numPr>
      </w:pPr>
      <w:r>
        <w:rPr>
          <w:b/>
          <w:bCs/>
          <w:i/>
          <w:iCs/>
        </w:rPr>
        <w:t>skeletal muscle</w:t>
      </w:r>
      <w:r>
        <w:t xml:space="preserve"> (muscle also atrophies)</w:t>
      </w:r>
    </w:p>
    <w:p w:rsidR="005F4E57" w:rsidRDefault="005F4E57">
      <w:pPr>
        <w:pStyle w:val="NormalWeb"/>
        <w:numPr>
          <w:ilvl w:val="3"/>
          <w:numId w:val="11"/>
        </w:numPr>
      </w:pPr>
      <w:r>
        <w:rPr>
          <w:b/>
          <w:bCs/>
          <w:i/>
          <w:iCs/>
        </w:rPr>
        <w:t>smooth muscle</w:t>
      </w:r>
      <w:r>
        <w:t xml:space="preserve"> (muscle does not atrophy!)</w:t>
      </w:r>
    </w:p>
    <w:p w:rsidR="005F4E57" w:rsidRDefault="005F4E57">
      <w:pPr>
        <w:pStyle w:val="NormalWeb"/>
        <w:numPr>
          <w:ilvl w:val="3"/>
          <w:numId w:val="11"/>
        </w:numPr>
      </w:pPr>
      <w:r>
        <w:rPr>
          <w:b/>
          <w:bCs/>
          <w:i/>
          <w:iCs/>
        </w:rPr>
        <w:t>exocrine glands</w:t>
      </w:r>
      <w:r>
        <w:t xml:space="preserve"> (except for sweat glands).</w:t>
      </w:r>
    </w:p>
    <w:p w:rsidR="005F4E57" w:rsidRDefault="005F4E57">
      <w:pPr>
        <w:pStyle w:val="NormalWeb"/>
        <w:numPr>
          <w:ilvl w:val="3"/>
          <w:numId w:val="11"/>
        </w:numPr>
      </w:pPr>
      <w:r>
        <w:rPr>
          <w:b/>
          <w:bCs/>
          <w:i/>
          <w:iCs/>
        </w:rPr>
        <w:t>lower nervous system centers</w:t>
      </w:r>
      <w:r>
        <w:t xml:space="preserve"> (after higher centers are destroyed) – hyperactivity is called "release phenomenon".</w:t>
      </w:r>
    </w:p>
    <w:p w:rsidR="005F4E57" w:rsidRDefault="005F4E57">
      <w:pPr>
        <w:pStyle w:val="NormalWeb"/>
        <w:numPr>
          <w:ilvl w:val="2"/>
          <w:numId w:val="11"/>
        </w:numPr>
      </w:pPr>
      <w:r>
        <w:rPr>
          <w:u w:val="single"/>
        </w:rPr>
        <w:t>mechanism:</w:t>
      </w:r>
    </w:p>
    <w:p w:rsidR="005F4E57" w:rsidRDefault="005F4E57">
      <w:pPr>
        <w:pStyle w:val="NormalWeb"/>
        <w:numPr>
          <w:ilvl w:val="3"/>
          <w:numId w:val="11"/>
        </w:numPr>
      </w:pPr>
      <w:r>
        <w:t xml:space="preserve">mainly - </w:t>
      </w:r>
      <w:r>
        <w:rPr>
          <w:b/>
          <w:bCs/>
          <w:color w:val="CC3300"/>
        </w:rPr>
        <w:t>synthesis / activation of more receptors</w:t>
      </w:r>
      <w:r>
        <w:t>.</w:t>
      </w:r>
    </w:p>
    <w:p w:rsidR="005F4E57" w:rsidRDefault="005F4E57">
      <w:pPr>
        <w:pStyle w:val="NormalWeb"/>
        <w:ind w:left="2160"/>
      </w:pPr>
      <w:r>
        <w:rPr>
          <w:i/>
          <w:iCs/>
        </w:rPr>
        <w:t>in denervated skeletal muscle</w:t>
      </w:r>
      <w:r>
        <w:t>, Acch receptors of</w:t>
      </w:r>
      <w:r>
        <w:rPr>
          <w:b/>
          <w:bCs/>
        </w:rPr>
        <w:t xml:space="preserve"> fetal γ subunit-containing type</w:t>
      </w:r>
      <w:r>
        <w:t xml:space="preserve"> appear over </w:t>
      </w:r>
      <w:r>
        <w:rPr>
          <w:b/>
          <w:bCs/>
        </w:rPr>
        <w:t>large portions of muscle membrane</w:t>
      </w:r>
      <w:r>
        <w:t xml:space="preserve"> (normally, only endplate contains Acch receptors, and they are of adult ε subunit-containing type); these disappear and sensitivity returns to normal if nerve regrows (motor nerve ending secretes specific protein </w:t>
      </w:r>
      <w:r>
        <w:rPr>
          <w:b/>
          <w:bCs/>
          <w:i/>
          <w:iCs/>
        </w:rPr>
        <w:t>agrin</w:t>
      </w:r>
      <w:r>
        <w:t>); the same is seen during embryonic development!</w:t>
      </w:r>
    </w:p>
    <w:p w:rsidR="005F4E57" w:rsidRDefault="005F4E57">
      <w:pPr>
        <w:pStyle w:val="NormalWeb"/>
        <w:ind w:left="2880"/>
      </w:pPr>
      <w:r>
        <w:t>N.B. after denervation, endplate sensitivity doesn’t increase!</w:t>
      </w:r>
    </w:p>
    <w:p w:rsidR="005F4E57" w:rsidRDefault="005F4E57">
      <w:pPr>
        <w:pStyle w:val="NormalWeb"/>
        <w:numPr>
          <w:ilvl w:val="3"/>
          <w:numId w:val="11"/>
        </w:numPr>
      </w:pPr>
      <w:r>
        <w:rPr>
          <w:b/>
          <w:bCs/>
          <w:color w:val="CC3300"/>
        </w:rPr>
        <w:t>lack of reuptake</w:t>
      </w:r>
      <w:r>
        <w:t xml:space="preserve"> (at noradrenergic endings) - circulating norepinephrine reaching receptors has greater effect than it otherwise would.</w:t>
      </w:r>
    </w:p>
    <w:p w:rsidR="005F4E57" w:rsidRDefault="005F4E57">
      <w:pPr>
        <w:pStyle w:val="NormalWeb"/>
        <w:numPr>
          <w:ilvl w:val="2"/>
          <w:numId w:val="11"/>
        </w:numPr>
        <w:spacing w:before="120"/>
      </w:pPr>
      <w:r>
        <w:t xml:space="preserve">hypersensitivity is limited to structures </w:t>
      </w:r>
      <w:r>
        <w:rPr>
          <w:b/>
          <w:bCs/>
          <w:color w:val="0000FF"/>
        </w:rPr>
        <w:t>immediately innervated by destroyed neurons</w:t>
      </w:r>
      <w:r>
        <w:t xml:space="preserve"> and fails to develop in structures farther "downstream";</w:t>
      </w:r>
    </w:p>
    <w:p w:rsidR="005F4E57" w:rsidRDefault="005F4E57">
      <w:pPr>
        <w:pStyle w:val="NormalWeb"/>
        <w:numPr>
          <w:ilvl w:val="0"/>
          <w:numId w:val="12"/>
        </w:numPr>
      </w:pPr>
      <w:r>
        <w:rPr>
          <w:i/>
          <w:iCs/>
        </w:rPr>
        <w:t>suprasegmental spinal cord lesions</w:t>
      </w:r>
      <w:r>
        <w:t xml:space="preserve"> do not lead to hypersensitivity of paralyzed skeletal muscles to acetylcholine;</w:t>
      </w:r>
    </w:p>
    <w:p w:rsidR="005F4E57" w:rsidRDefault="005F4E57">
      <w:pPr>
        <w:pStyle w:val="NormalWeb"/>
        <w:numPr>
          <w:ilvl w:val="0"/>
          <w:numId w:val="12"/>
        </w:numPr>
      </w:pPr>
      <w:r>
        <w:rPr>
          <w:i/>
          <w:iCs/>
        </w:rPr>
        <w:t>destruction of preganglionic autonomic nerves</w:t>
      </w:r>
      <w:r>
        <w:t xml:space="preserve"> does not cause hypersensitivity of denervated viscera; example in treatment of diseases due to vasospasm:</w:t>
      </w:r>
    </w:p>
    <w:p w:rsidR="005F4E57" w:rsidRDefault="005F4E57">
      <w:pPr>
        <w:pStyle w:val="NormalWeb"/>
        <w:numPr>
          <w:ilvl w:val="1"/>
          <w:numId w:val="12"/>
        </w:numPr>
        <w:rPr>
          <w:sz w:val="22"/>
        </w:rPr>
      </w:pPr>
      <w:r>
        <w:rPr>
          <w:sz w:val="22"/>
        </w:rPr>
        <w:t xml:space="preserve">if upper extremity is sympathectomized by removing </w:t>
      </w:r>
      <w:r>
        <w:rPr>
          <w:b/>
          <w:bCs/>
          <w:sz w:val="22"/>
        </w:rPr>
        <w:t>upper part of ganglion chain &amp; stellate ganglion</w:t>
      </w:r>
      <w:r>
        <w:rPr>
          <w:sz w:val="22"/>
        </w:rPr>
        <w:t>, hypersensitive vessel walls are stimulated by circulating norepinephrine, and episodic vasospasm continues to occur.</w:t>
      </w:r>
    </w:p>
    <w:p w:rsidR="005F4E57" w:rsidRDefault="005F4E57">
      <w:pPr>
        <w:pStyle w:val="NormalWeb"/>
        <w:numPr>
          <w:ilvl w:val="1"/>
          <w:numId w:val="12"/>
        </w:numPr>
        <w:rPr>
          <w:sz w:val="22"/>
        </w:rPr>
      </w:pPr>
      <w:r>
        <w:rPr>
          <w:sz w:val="22"/>
        </w:rPr>
        <w:t xml:space="preserve">if preganglionic sympathectomy is performed by cutting </w:t>
      </w:r>
      <w:r>
        <w:rPr>
          <w:b/>
          <w:bCs/>
          <w:sz w:val="22"/>
        </w:rPr>
        <w:t>ganglion chain below 3</w:t>
      </w:r>
      <w:r>
        <w:rPr>
          <w:b/>
          <w:bCs/>
          <w:sz w:val="22"/>
          <w:vertAlign w:val="superscript"/>
        </w:rPr>
        <w:t>rd</w:t>
      </w:r>
      <w:r>
        <w:rPr>
          <w:b/>
          <w:bCs/>
          <w:sz w:val="22"/>
        </w:rPr>
        <w:t xml:space="preserve"> ganglion </w:t>
      </w:r>
      <w:r>
        <w:rPr>
          <w:sz w:val="22"/>
        </w:rPr>
        <w:t xml:space="preserve">(to interrupt ascending preganglionic fibers) </w:t>
      </w:r>
      <w:r>
        <w:rPr>
          <w:b/>
          <w:bCs/>
          <w:sz w:val="22"/>
        </w:rPr>
        <w:t>&amp; white rami of first three thoracic nerves</w:t>
      </w:r>
      <w:r>
        <w:rPr>
          <w:sz w:val="22"/>
        </w:rPr>
        <w:t>, no hypersensitivity results!</w:t>
      </w:r>
    </w:p>
    <w:p w:rsidR="005F4E57" w:rsidRDefault="005F4E57">
      <w:pPr>
        <w:pStyle w:val="NormalWeb"/>
      </w:pPr>
    </w:p>
    <w:p w:rsidR="005F4E57" w:rsidRDefault="00580BEA">
      <w:pPr>
        <w:jc w:val="center"/>
      </w:pPr>
      <w:r>
        <w:rPr>
          <w:noProof/>
        </w:rPr>
        <w:drawing>
          <wp:inline distT="0" distB="0" distL="0" distR="0" wp14:anchorId="5EE5C6D5" wp14:editId="3009B385">
            <wp:extent cx="2505075" cy="2076450"/>
            <wp:effectExtent l="0" t="0" r="9525" b="0"/>
            <wp:docPr id="9" name="Picture 9" descr="D:\Viktoro\Neuroscience\A. Neuroscience Basics\A3-5. Neuron, Synapsis, Neurochemistry\00. Pictures\Axon da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A. Neuroscience Basics\A3-5. Neuron, Synapsis, Neurochemistry\00. Pictures\Axon dam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E57" w:rsidRDefault="005F4E57"/>
    <w:p w:rsidR="005F4E57" w:rsidRDefault="005F4E57">
      <w:r>
        <w:rPr>
          <w:b/>
          <w:bCs/>
          <w:color w:val="B26A00"/>
          <w:highlight w:val="yellow"/>
          <w:u w:val="single"/>
        </w:rPr>
        <w:t>Acute</w:t>
      </w:r>
      <w:r>
        <w:rPr>
          <w:b/>
          <w:bCs/>
          <w:color w:val="B26A00"/>
          <w:u w:val="single"/>
        </w:rPr>
        <w:t xml:space="preserve"> neuronal injury (red neuron)</w:t>
      </w:r>
    </w:p>
    <w:p w:rsidR="005F4E57" w:rsidRDefault="005F4E57">
      <w:pPr>
        <w:numPr>
          <w:ilvl w:val="3"/>
          <w:numId w:val="6"/>
        </w:numPr>
        <w:rPr>
          <w:szCs w:val="24"/>
          <w:lang w:val="en-GB"/>
        </w:rPr>
      </w:pPr>
      <w:r>
        <w:t>cell body shrinkage</w:t>
      </w:r>
    </w:p>
    <w:p w:rsidR="005F4E57" w:rsidRDefault="005F4E57">
      <w:pPr>
        <w:numPr>
          <w:ilvl w:val="3"/>
          <w:numId w:val="6"/>
        </w:numPr>
        <w:rPr>
          <w:szCs w:val="24"/>
          <w:lang w:val="en-GB"/>
        </w:rPr>
      </w:pPr>
      <w:r>
        <w:rPr>
          <w:b/>
          <w:bCs/>
        </w:rPr>
        <w:t>nucleus pyknosis</w:t>
      </w:r>
      <w:r>
        <w:t>; nucleus assumes angulated shape of shrunken perikaryon</w:t>
      </w:r>
    </w:p>
    <w:p w:rsidR="005F4E57" w:rsidRDefault="005F4E57">
      <w:pPr>
        <w:numPr>
          <w:ilvl w:val="3"/>
          <w:numId w:val="6"/>
        </w:numPr>
        <w:rPr>
          <w:szCs w:val="24"/>
          <w:lang w:val="en-GB"/>
        </w:rPr>
      </w:pPr>
      <w:r>
        <w:t>nucleolus disappearance</w:t>
      </w:r>
    </w:p>
    <w:p w:rsidR="005F4E57" w:rsidRDefault="005F4E57">
      <w:pPr>
        <w:numPr>
          <w:ilvl w:val="3"/>
          <w:numId w:val="6"/>
        </w:numPr>
        <w:rPr>
          <w:szCs w:val="24"/>
          <w:lang w:val="en-GB"/>
        </w:rPr>
      </w:pPr>
      <w:r>
        <w:t xml:space="preserve">loss of Nissl substance → </w:t>
      </w:r>
      <w:r>
        <w:rPr>
          <w:b/>
          <w:bCs/>
        </w:rPr>
        <w:t>intense cytoplasm eosinophilia</w:t>
      </w:r>
      <w:r>
        <w:t xml:space="preserve"> (red neuron)</w:t>
      </w:r>
    </w:p>
    <w:p w:rsidR="005F4E57" w:rsidRDefault="005F4E57">
      <w:pPr>
        <w:numPr>
          <w:ilvl w:val="0"/>
          <w:numId w:val="9"/>
        </w:numPr>
        <w:rPr>
          <w:szCs w:val="24"/>
          <w:lang w:val="en-GB"/>
        </w:rPr>
      </w:pPr>
      <w:r>
        <w:t>accompany acute CNS insults that ultimately lead to cell death.</w:t>
      </w:r>
    </w:p>
    <w:p w:rsidR="005F4E57" w:rsidRDefault="005F4E57">
      <w:pPr>
        <w:numPr>
          <w:ilvl w:val="0"/>
          <w:numId w:val="9"/>
        </w:numPr>
        <w:rPr>
          <w:szCs w:val="24"/>
          <w:lang w:val="en-GB"/>
        </w:rPr>
      </w:pPr>
      <w:r>
        <w:t>red neurons are evident with H&amp;E preparations at 12-24 hours after irreversible hypoxic / ischemic insult.</w:t>
      </w:r>
    </w:p>
    <w:p w:rsidR="005F4E57" w:rsidRDefault="005F4E57">
      <w:pPr>
        <w:rPr>
          <w:szCs w:val="24"/>
          <w:lang w:val="en-GB"/>
        </w:rPr>
      </w:pPr>
    </w:p>
    <w:p w:rsidR="005F4E57" w:rsidRDefault="005F4E57">
      <w:r>
        <w:rPr>
          <w:b/>
          <w:bCs/>
          <w:color w:val="B26A00"/>
          <w:u w:val="single"/>
        </w:rPr>
        <w:t>"Simple" neuronal atrophy ("degeneration")</w:t>
      </w:r>
      <w:r>
        <w:t xml:space="preserve"> – selective neuronal death (</w:t>
      </w:r>
      <w:r>
        <w:rPr>
          <w:b/>
          <w:bCs/>
        </w:rPr>
        <w:t>cell loss</w:t>
      </w:r>
      <w:r>
        <w:t xml:space="preserve">) as result of progressive disease process of </w:t>
      </w:r>
      <w:r>
        <w:rPr>
          <w:b/>
          <w:bCs/>
          <w:color w:val="B26A00"/>
          <w:highlight w:val="yellow"/>
        </w:rPr>
        <w:t>long</w:t>
      </w:r>
      <w:r>
        <w:t xml:space="preserve"> duration → </w:t>
      </w:r>
      <w:r>
        <w:rPr>
          <w:b/>
          <w:bCs/>
        </w:rPr>
        <w:t>reactive gliosis</w:t>
      </w:r>
      <w:r>
        <w:t>.</w:t>
      </w:r>
    </w:p>
    <w:p w:rsidR="005F4E57" w:rsidRDefault="005F4E57">
      <w:pPr>
        <w:numPr>
          <w:ilvl w:val="0"/>
          <w:numId w:val="10"/>
        </w:numPr>
        <w:rPr>
          <w:szCs w:val="24"/>
          <w:lang w:val="en-GB"/>
        </w:rPr>
      </w:pPr>
      <w:r>
        <w:rPr>
          <w:b/>
          <w:bCs/>
          <w:i/>
          <w:iCs/>
        </w:rPr>
        <w:t>in early stage</w:t>
      </w:r>
      <w:r>
        <w:t>, cell loss is difficult to detect; associated glial changes are best indicator of pathologic process at this stage.</w:t>
      </w:r>
    </w:p>
    <w:p w:rsidR="005F4E57" w:rsidRDefault="005F4E57">
      <w:pPr>
        <w:numPr>
          <w:ilvl w:val="0"/>
          <w:numId w:val="10"/>
        </w:numPr>
        <w:rPr>
          <w:szCs w:val="24"/>
          <w:lang w:val="en-GB"/>
        </w:rPr>
      </w:pPr>
      <w:r>
        <w:rPr>
          <w:b/>
          <w:bCs/>
          <w:smallCaps/>
          <w:color w:val="0000FF"/>
        </w:rPr>
        <w:t>gliosis</w:t>
      </w:r>
      <w:r>
        <w:t xml:space="preserve"> - most important histopathologic indicator of CNS injury (regardless of etiology).</w:t>
      </w:r>
    </w:p>
    <w:p w:rsidR="005F4E57" w:rsidRDefault="005F4E57">
      <w:pPr>
        <w:numPr>
          <w:ilvl w:val="1"/>
          <w:numId w:val="10"/>
        </w:numPr>
        <w:rPr>
          <w:szCs w:val="24"/>
          <w:lang w:val="en-GB"/>
        </w:rPr>
      </w:pPr>
      <w:r>
        <w:rPr>
          <w:i/>
          <w:iCs/>
          <w:smallCaps/>
        </w:rPr>
        <w:t>astrocytes</w:t>
      </w:r>
      <w:r>
        <w:t xml:space="preserve"> participate by hypertrophy &amp; hyperplasia (</w:t>
      </w:r>
      <w:r>
        <w:rPr>
          <w:color w:val="800000"/>
        </w:rPr>
        <w:t>reactive, s. gemistocytic astrocytes</w:t>
      </w:r>
      <w:r>
        <w:t>).</w:t>
      </w:r>
    </w:p>
    <w:p w:rsidR="005F4E57" w:rsidRDefault="005F4E57">
      <w:pPr>
        <w:numPr>
          <w:ilvl w:val="1"/>
          <w:numId w:val="10"/>
        </w:numPr>
      </w:pPr>
      <w:r>
        <w:rPr>
          <w:b/>
          <w:bCs/>
          <w:i/>
          <w:iCs/>
        </w:rPr>
        <w:t>in long-standing lesions</w:t>
      </w:r>
      <w:r>
        <w:t>, astrocytic nuclei lie in dense net of processes (</w:t>
      </w:r>
      <w:r>
        <w:rPr>
          <w:i/>
          <w:iCs/>
        </w:rPr>
        <w:t>glial</w:t>
      </w:r>
      <w:r>
        <w:t xml:space="preserve"> "</w:t>
      </w:r>
      <w:r>
        <w:rPr>
          <w:i/>
          <w:iCs/>
        </w:rPr>
        <w:t>fibrils</w:t>
      </w:r>
      <w:r>
        <w:t>").</w:t>
      </w:r>
    </w:p>
    <w:p w:rsidR="005F4E57" w:rsidRDefault="005F4E57"/>
    <w:p w:rsidR="005772C2" w:rsidRDefault="005772C2" w:rsidP="005772C2">
      <w:pPr>
        <w:ind w:left="720"/>
        <w:rPr>
          <w:sz w:val="20"/>
        </w:rPr>
      </w:pPr>
      <w:r>
        <w:rPr>
          <w:sz w:val="20"/>
        </w:rPr>
        <w:t>N</w:t>
      </w:r>
      <w:r w:rsidRPr="005772C2">
        <w:rPr>
          <w:sz w:val="20"/>
        </w:rPr>
        <w:t xml:space="preserve">euronophagia </w:t>
      </w:r>
      <w:r>
        <w:rPr>
          <w:sz w:val="20"/>
        </w:rPr>
        <w:t>-</w:t>
      </w:r>
      <w:r w:rsidRPr="005772C2">
        <w:rPr>
          <w:sz w:val="20"/>
        </w:rPr>
        <w:t xml:space="preserve"> dying neuron surrounded by microglial cells</w:t>
      </w:r>
      <w:r>
        <w:rPr>
          <w:sz w:val="20"/>
        </w:rPr>
        <w:t>:</w:t>
      </w:r>
    </w:p>
    <w:p w:rsidR="005772C2" w:rsidRDefault="00580BEA" w:rsidP="005772C2">
      <w:pPr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 wp14:anchorId="7F38BC7F" wp14:editId="3EA44368">
            <wp:extent cx="5343525" cy="3514725"/>
            <wp:effectExtent l="0" t="0" r="9525" b="9525"/>
            <wp:docPr id="10" name="Picture 10" descr="D:\Viktoro\Neuroscience\A. Neuroscience Basics\A3-5. Neuron, Synapsis, Neurochemistry\00. Pictures\Neuronopha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A. Neuroscience Basics\A3-5. Neuron, Synapsis, Neurochemistry\00. Pictures\Neuronophagi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43" w:rsidRPr="00075BD3" w:rsidRDefault="00E62243" w:rsidP="00E62243">
      <w:pPr>
        <w:ind w:left="720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 w:rsidRPr="00075BD3">
        <w:rPr>
          <w:color w:val="000000"/>
          <w:sz w:val="18"/>
          <w:szCs w:val="18"/>
        </w:rPr>
        <w:instrText xml:space="preserve"> HYPERLINK "http://library.med.utah.edu/WebPath/webpath.html" </w:instrText>
      </w:r>
      <w:r w:rsidR="009E4F7C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E62243" w:rsidRPr="005772C2" w:rsidRDefault="00E62243" w:rsidP="005772C2">
      <w:pPr>
        <w:ind w:left="720"/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5772C2" w:rsidRPr="005772C2" w:rsidRDefault="005772C2"/>
    <w:p w:rsidR="005F4E57" w:rsidRDefault="005F4E57"/>
    <w:p w:rsidR="005F4E57" w:rsidRDefault="005F4E57" w:rsidP="00C736C3">
      <w:pPr>
        <w:pStyle w:val="Nervous1"/>
      </w:pPr>
      <w:bookmarkStart w:id="3" w:name="_Toc6655308"/>
      <w:r w:rsidRPr="00C736C3">
        <w:t>Neuron doctrine of Santiago Ramón Y Cajal</w:t>
      </w:r>
      <w:bookmarkEnd w:id="3"/>
    </w:p>
    <w:p w:rsidR="005F4E57" w:rsidRDefault="005F4E57">
      <w:r>
        <w:t>- bendros teorijos, kad “cell is basic unit of living organism”, puikus pavyzdys.</w:t>
      </w:r>
    </w:p>
    <w:p w:rsidR="005F4E57" w:rsidRDefault="005F4E57" w:rsidP="00114E24">
      <w:pPr>
        <w:spacing w:before="120"/>
        <w:rPr>
          <w:u w:val="single"/>
        </w:rPr>
      </w:pPr>
      <w:r>
        <w:rPr>
          <w:u w:val="single"/>
        </w:rPr>
        <w:t>Each neuron is:</w:t>
      </w:r>
    </w:p>
    <w:p w:rsidR="005F4E57" w:rsidRDefault="005F4E57">
      <w:pPr>
        <w:numPr>
          <w:ilvl w:val="0"/>
          <w:numId w:val="7"/>
        </w:numPr>
        <w:spacing w:before="60"/>
      </w:pPr>
      <w:r>
        <w:rPr>
          <w:b/>
          <w:bCs/>
        </w:rPr>
        <w:t>Anatomical unit</w:t>
      </w:r>
      <w:r>
        <w:t xml:space="preserve"> – neuronas apsuptas vientisos </w:t>
      </w:r>
      <w:r>
        <w:rPr>
          <w:i/>
          <w:iCs/>
          <w:color w:val="0000FF"/>
        </w:rPr>
        <w:t>membranos</w:t>
      </w:r>
      <w:r>
        <w:t xml:space="preserve"> (atskiria nuo aplinkos)</w:t>
      </w:r>
    </w:p>
    <w:p w:rsidR="005F4E57" w:rsidRDefault="005F4E57">
      <w:pPr>
        <w:numPr>
          <w:ilvl w:val="0"/>
          <w:numId w:val="7"/>
        </w:numPr>
        <w:spacing w:before="60"/>
      </w:pPr>
      <w:r>
        <w:rPr>
          <w:b/>
          <w:bCs/>
        </w:rPr>
        <w:t>Genetic unit</w:t>
      </w:r>
      <w:r>
        <w:t xml:space="preserve"> – </w:t>
      </w:r>
      <w:r>
        <w:rPr>
          <w:i/>
          <w:iCs/>
          <w:color w:val="0000FF"/>
        </w:rPr>
        <w:t>genetic code</w:t>
      </w:r>
      <w:r>
        <w:t xml:space="preserve"> specifies structure, metabolism, and connections.</w:t>
      </w:r>
    </w:p>
    <w:p w:rsidR="005F4E57" w:rsidRDefault="005F4E57">
      <w:pPr>
        <w:numPr>
          <w:ilvl w:val="0"/>
          <w:numId w:val="7"/>
        </w:numPr>
        <w:spacing w:before="60"/>
      </w:pPr>
      <w:r>
        <w:rPr>
          <w:b/>
          <w:bCs/>
        </w:rPr>
        <w:t>Functional unit</w:t>
      </w:r>
      <w:r>
        <w:t xml:space="preserve"> – neuronas sugeba </w:t>
      </w:r>
      <w:r>
        <w:rPr>
          <w:i/>
          <w:iCs/>
          <w:color w:val="0000FF"/>
        </w:rPr>
        <w:t>priimti stimulus</w:t>
      </w:r>
      <w:r>
        <w:t xml:space="preserve"> ir </w:t>
      </w:r>
      <w:r>
        <w:rPr>
          <w:i/>
          <w:iCs/>
          <w:color w:val="0000FF"/>
        </w:rPr>
        <w:t>generuoti impulsus</w:t>
      </w:r>
      <w:r>
        <w:t xml:space="preserve"> (pagal dėsnį “all or none” ir visuomet vienodus) išskirdamas excitatory arba inhibitory neurotransmitters.</w:t>
      </w:r>
    </w:p>
    <w:p w:rsidR="005F4E57" w:rsidRDefault="005F4E57">
      <w:pPr>
        <w:numPr>
          <w:ilvl w:val="0"/>
          <w:numId w:val="7"/>
        </w:numPr>
        <w:spacing w:before="60"/>
      </w:pPr>
      <w:r>
        <w:rPr>
          <w:b/>
          <w:bCs/>
        </w:rPr>
        <w:t>Polarized unit</w:t>
      </w:r>
      <w:r>
        <w:t xml:space="preserve"> – impulsas neuronu ir sinapsėmis </w:t>
      </w:r>
      <w:r>
        <w:rPr>
          <w:i/>
          <w:iCs/>
          <w:color w:val="0000FF"/>
        </w:rPr>
        <w:t>plinta tik viena kryptimi</w:t>
      </w:r>
      <w:r>
        <w:t xml:space="preserve"> (dendrites → axon); tačiau ne visur – egzistuoja dendrodendritinės sinapsės, amakrininiai neuronai).</w:t>
      </w:r>
    </w:p>
    <w:p w:rsidR="005F4E57" w:rsidRDefault="005F4E57">
      <w:pPr>
        <w:numPr>
          <w:ilvl w:val="0"/>
          <w:numId w:val="7"/>
        </w:numPr>
        <w:spacing w:before="60"/>
      </w:pPr>
      <w:r>
        <w:rPr>
          <w:b/>
          <w:bCs/>
        </w:rPr>
        <w:t>Pathologic unit</w:t>
      </w:r>
      <w:r>
        <w:t xml:space="preserve"> – neuronas reaguoja į pažeidimą kaip vienetas.</w:t>
      </w:r>
    </w:p>
    <w:p w:rsidR="005F4E57" w:rsidRDefault="005F4E57">
      <w:pPr>
        <w:numPr>
          <w:ilvl w:val="0"/>
          <w:numId w:val="7"/>
        </w:numPr>
        <w:spacing w:before="60"/>
      </w:pPr>
      <w:r>
        <w:rPr>
          <w:b/>
          <w:bCs/>
        </w:rPr>
        <w:t>Regenerative unit</w:t>
      </w:r>
      <w:r>
        <w:t xml:space="preserve"> – PNS aksonai gali regeneruoti.</w:t>
      </w:r>
    </w:p>
    <w:p w:rsidR="005F4E57" w:rsidRDefault="005F4E57"/>
    <w:p w:rsidR="009314F1" w:rsidRDefault="009314F1"/>
    <w:p w:rsidR="009314F1" w:rsidRPr="001236AC" w:rsidRDefault="009314F1" w:rsidP="00C736C3">
      <w:pPr>
        <w:pStyle w:val="Nervous1"/>
      </w:pPr>
      <w:bookmarkStart w:id="4" w:name="_Toc6655309"/>
      <w:r w:rsidRPr="001236AC">
        <w:t>Selective vulnerability</w:t>
      </w:r>
      <w:bookmarkEnd w:id="4"/>
    </w:p>
    <w:p w:rsidR="009314F1" w:rsidRDefault="009314F1" w:rsidP="009314F1">
      <w:r w:rsidRPr="009314F1">
        <w:rPr>
          <w:b/>
        </w:rPr>
        <w:t>Ischemia</w:t>
      </w:r>
      <w:r>
        <w:t xml:space="preserve"> – </w:t>
      </w:r>
      <w:r w:rsidR="00FC2789">
        <w:t>hippocampus</w:t>
      </w:r>
      <w:r>
        <w:t xml:space="preserve"> (esp. CA1)</w:t>
      </w:r>
    </w:p>
    <w:p w:rsidR="009314F1" w:rsidRDefault="009314F1" w:rsidP="009314F1">
      <w:r w:rsidRPr="009314F1">
        <w:rPr>
          <w:b/>
        </w:rPr>
        <w:t>Hyperthermia</w:t>
      </w:r>
      <w:r>
        <w:t xml:space="preserve"> – cerebellar Purkinje cells</w:t>
      </w:r>
    </w:p>
    <w:p w:rsidR="009314F1" w:rsidRDefault="009314F1" w:rsidP="009314F1">
      <w:r w:rsidRPr="009314F1">
        <w:rPr>
          <w:b/>
        </w:rPr>
        <w:t>Mercury</w:t>
      </w:r>
      <w:r>
        <w:t xml:space="preserve"> – cerebellar granule cells</w:t>
      </w:r>
    </w:p>
    <w:p w:rsidR="00CB44FD" w:rsidRDefault="00CB44FD"/>
    <w:p w:rsidR="00CB44FD" w:rsidRDefault="00CB44FD"/>
    <w:p w:rsidR="009E2F52" w:rsidRPr="00273F8C" w:rsidRDefault="009E2F52" w:rsidP="009E2F52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  <w:r w:rsidRPr="004C0490">
        <w:rPr>
          <w:szCs w:val="24"/>
        </w:rPr>
        <w:t xml:space="preserve"> </w:t>
      </w:r>
      <w:r w:rsidRPr="00273F8C">
        <w:rPr>
          <w:szCs w:val="24"/>
        </w:rPr>
        <w:t>for ch. “</w:t>
      </w:r>
      <w:r>
        <w:rPr>
          <w:szCs w:val="24"/>
        </w:rPr>
        <w:t>Neuron, Synapsis, Neurochemistry</w:t>
      </w:r>
      <w:r w:rsidRPr="00273F8C">
        <w:rPr>
          <w:szCs w:val="24"/>
        </w:rPr>
        <w:t xml:space="preserve">” → </w:t>
      </w:r>
      <w:r w:rsidR="008F5E95">
        <w:rPr>
          <w:szCs w:val="24"/>
        </w:rPr>
        <w:t xml:space="preserve">follow this </w:t>
      </w:r>
      <w:hyperlink r:id="rId19" w:tgtFrame="_blank" w:history="1">
        <w:r w:rsidR="008F5E95">
          <w:rPr>
            <w:rStyle w:val="Hyperlink"/>
            <w:smallCaps/>
            <w:szCs w:val="24"/>
          </w:rPr>
          <w:t>link</w:t>
        </w:r>
        <w:r w:rsidR="008F5E95">
          <w:rPr>
            <w:rStyle w:val="Hyperlink"/>
            <w:szCs w:val="24"/>
          </w:rPr>
          <w:t xml:space="preserve"> &gt;&gt;</w:t>
        </w:r>
      </w:hyperlink>
    </w:p>
    <w:p w:rsidR="009E2F52" w:rsidRDefault="009E2F52" w:rsidP="009E2F52">
      <w:pPr>
        <w:rPr>
          <w:sz w:val="20"/>
        </w:rPr>
      </w:pPr>
      <w:r>
        <w:rPr>
          <w:sz w:val="20"/>
        </w:rPr>
        <w:t>NMS Neuroanatomy 1998</w:t>
      </w:r>
    </w:p>
    <w:p w:rsidR="009E2F52" w:rsidRDefault="009E2F52" w:rsidP="009E2F52">
      <w:pPr>
        <w:rPr>
          <w:sz w:val="20"/>
        </w:rPr>
      </w:pPr>
      <w:r>
        <w:rPr>
          <w:sz w:val="20"/>
        </w:rPr>
        <w:t>Cotran “Robbins Pathologic Basis of Disease”, 6</w:t>
      </w:r>
      <w:r>
        <w:rPr>
          <w:sz w:val="20"/>
          <w:vertAlign w:val="superscript"/>
        </w:rPr>
        <w:t>th</w:t>
      </w:r>
      <w:r>
        <w:rPr>
          <w:sz w:val="20"/>
        </w:rPr>
        <w:t xml:space="preserve"> ed., 1999 (1293-1297 p.)</w:t>
      </w:r>
    </w:p>
    <w:p w:rsidR="009E2F52" w:rsidRDefault="009E2F52" w:rsidP="009E2F52">
      <w:r>
        <w:rPr>
          <w:sz w:val="20"/>
        </w:rPr>
        <w:t>Ganong “Review of Medical Physiology”, 2002</w:t>
      </w:r>
    </w:p>
    <w:p w:rsidR="009E2F52" w:rsidRDefault="009E2F52" w:rsidP="009E2F52">
      <w:pPr>
        <w:rPr>
          <w:sz w:val="20"/>
        </w:rPr>
      </w:pPr>
    </w:p>
    <w:p w:rsidR="009E2F52" w:rsidRDefault="009E2F52" w:rsidP="009E2F52">
      <w:pPr>
        <w:pBdr>
          <w:bottom w:val="single" w:sz="4" w:space="1" w:color="auto"/>
        </w:pBdr>
        <w:ind w:right="57"/>
        <w:rPr>
          <w:sz w:val="20"/>
        </w:rPr>
      </w:pPr>
    </w:p>
    <w:p w:rsidR="009E2F52" w:rsidRPr="00B806B3" w:rsidRDefault="009E2F52" w:rsidP="009E2F52">
      <w:pPr>
        <w:pBdr>
          <w:bottom w:val="single" w:sz="4" w:space="1" w:color="auto"/>
        </w:pBdr>
        <w:ind w:right="57"/>
        <w:rPr>
          <w:sz w:val="20"/>
        </w:rPr>
      </w:pPr>
    </w:p>
    <w:p w:rsidR="009E2F52" w:rsidRDefault="009E4F7C" w:rsidP="009E2F52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0" w:tgtFrame="_blank" w:history="1">
        <w:r w:rsidR="009E2F52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9E2F52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9E2F52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9E2F52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5F4E57" w:rsidRPr="009E2F52" w:rsidRDefault="009E4F7C" w:rsidP="009E2F52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1" w:tgtFrame="_blank" w:history="1">
        <w:r w:rsidR="009E2F52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5F4E57" w:rsidRPr="009E2F52" w:rsidSect="001C2073">
      <w:headerReference w:type="default" r:id="rId22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8F3" w:rsidRDefault="001968F3">
      <w:r>
        <w:separator/>
      </w:r>
    </w:p>
  </w:endnote>
  <w:endnote w:type="continuationSeparator" w:id="0">
    <w:p w:rsidR="001968F3" w:rsidRDefault="00196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8F3" w:rsidRDefault="001968F3">
      <w:r>
        <w:separator/>
      </w:r>
    </w:p>
  </w:footnote>
  <w:footnote w:type="continuationSeparator" w:id="0">
    <w:p w:rsidR="001968F3" w:rsidRDefault="001968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59F" w:rsidRPr="00C736C3" w:rsidRDefault="00C736C3" w:rsidP="00C736C3">
    <w:pPr>
      <w:pStyle w:val="Header"/>
      <w:pBdr>
        <w:bottom w:val="single" w:sz="4" w:space="1" w:color="999999"/>
      </w:pBdr>
      <w:tabs>
        <w:tab w:val="center" w:pos="4820"/>
        <w:tab w:val="left" w:pos="9090"/>
        <w:tab w:val="left" w:pos="927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9F88103" wp14:editId="3D7A10D4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6" name="Picture 16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C736C3">
      <w:rPr>
        <w:b/>
        <w:smallCaps/>
      </w:rPr>
      <w:t>Pathologic Reactions of Neurons</w:t>
    </w:r>
    <w:r>
      <w:rPr>
        <w:b/>
        <w:bCs/>
        <w:iCs/>
        <w:smallCaps/>
      </w:rPr>
      <w:tab/>
    </w:r>
    <w:r>
      <w:t>A5 (</w:t>
    </w:r>
    <w:r>
      <w:fldChar w:fldCharType="begin"/>
    </w:r>
    <w:r>
      <w:instrText xml:space="preserve"> PAGE </w:instrText>
    </w:r>
    <w:r>
      <w:fldChar w:fldCharType="separate"/>
    </w:r>
    <w:r w:rsidR="009E4F7C">
      <w:rPr>
        <w:noProof/>
      </w:rPr>
      <w:t>1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71C77"/>
    <w:multiLevelType w:val="hybridMultilevel"/>
    <w:tmpl w:val="72AA7864"/>
    <w:lvl w:ilvl="0" w:tplc="456834F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C1482"/>
    <w:multiLevelType w:val="hybridMultilevel"/>
    <w:tmpl w:val="973C6FB8"/>
    <w:lvl w:ilvl="0" w:tplc="7D96415E">
      <w:start w:val="1"/>
      <w:numFmt w:val="upperLetter"/>
      <w:lvlText w:val="%1)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</w:rPr>
    </w:lvl>
    <w:lvl w:ilvl="1" w:tplc="3252BA64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2A72D42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3" w:tplc="57A60B12">
      <w:start w:val="1"/>
      <w:numFmt w:val="decimal"/>
      <w:lvlText w:val="%4) "/>
      <w:lvlJc w:val="left"/>
      <w:pPr>
        <w:tabs>
          <w:tab w:val="num" w:pos="1494"/>
        </w:tabs>
        <w:ind w:left="1474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62FAC2">
      <w:numFmt w:val="bullet"/>
      <w:lvlText w:val="-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8371A5"/>
    <w:multiLevelType w:val="hybridMultilevel"/>
    <w:tmpl w:val="246492EC"/>
    <w:lvl w:ilvl="0" w:tplc="456834F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F1686"/>
    <w:multiLevelType w:val="hybridMultilevel"/>
    <w:tmpl w:val="A8601868"/>
    <w:lvl w:ilvl="0" w:tplc="C6DA2712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71867CD0">
      <w:start w:val="1"/>
      <w:numFmt w:val="lowerLetter"/>
      <w:lvlText w:val="%2)"/>
      <w:lvlJc w:val="left"/>
      <w:pPr>
        <w:tabs>
          <w:tab w:val="num" w:pos="1778"/>
        </w:tabs>
        <w:ind w:left="1758" w:hanging="34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778B1"/>
    <w:multiLevelType w:val="hybridMultilevel"/>
    <w:tmpl w:val="BF467F98"/>
    <w:lvl w:ilvl="0" w:tplc="456834F4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4"/>
      </w:rPr>
    </w:lvl>
    <w:lvl w:ilvl="1" w:tplc="A7502D9C">
      <w:start w:val="1"/>
      <w:numFmt w:val="decimal"/>
      <w:lvlText w:val="%2) "/>
      <w:lvlJc w:val="left"/>
      <w:pPr>
        <w:tabs>
          <w:tab w:val="num" w:pos="2291"/>
        </w:tabs>
        <w:ind w:left="2271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456834F4">
      <w:start w:val="1"/>
      <w:numFmt w:val="bullet"/>
      <w:lvlText w:val=""/>
      <w:lvlJc w:val="left"/>
      <w:pPr>
        <w:tabs>
          <w:tab w:val="num" w:pos="3011"/>
        </w:tabs>
        <w:ind w:left="2991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8812449"/>
    <w:multiLevelType w:val="hybridMultilevel"/>
    <w:tmpl w:val="6BB8E3B8"/>
    <w:lvl w:ilvl="0" w:tplc="456834F4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3252BA64">
      <w:start w:val="1"/>
      <w:numFmt w:val="lowerLetter"/>
      <w:lvlText w:val="%2)"/>
      <w:lvlJc w:val="left"/>
      <w:pPr>
        <w:tabs>
          <w:tab w:val="num" w:pos="2160"/>
        </w:tabs>
        <w:ind w:left="2140" w:hanging="340"/>
      </w:pPr>
      <w:rPr>
        <w:rFonts w:hint="default"/>
      </w:rPr>
    </w:lvl>
    <w:lvl w:ilvl="2" w:tplc="456834F4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3" w:tplc="4F9A1F32">
      <w:start w:val="1"/>
      <w:numFmt w:val="decimal"/>
      <w:lvlText w:val="%4) "/>
      <w:lvlJc w:val="left"/>
      <w:pPr>
        <w:tabs>
          <w:tab w:val="num" w:pos="1494"/>
        </w:tabs>
        <w:ind w:left="1474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D161E8"/>
    <w:multiLevelType w:val="hybridMultilevel"/>
    <w:tmpl w:val="9C5AB5F8"/>
    <w:lvl w:ilvl="0" w:tplc="36B41ACC">
      <w:start w:val="1"/>
      <w:numFmt w:val="decimal"/>
      <w:lvlText w:val="%1)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AE1E44"/>
    <w:multiLevelType w:val="hybridMultilevel"/>
    <w:tmpl w:val="7ED64FF2"/>
    <w:lvl w:ilvl="0" w:tplc="456834F4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38681D"/>
    <w:multiLevelType w:val="hybridMultilevel"/>
    <w:tmpl w:val="6BB8E3B8"/>
    <w:lvl w:ilvl="0" w:tplc="2C7E677C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24"/>
      </w:rPr>
    </w:lvl>
    <w:lvl w:ilvl="1" w:tplc="3252BA64">
      <w:start w:val="1"/>
      <w:numFmt w:val="lowerLetter"/>
      <w:lvlText w:val="%2)"/>
      <w:lvlJc w:val="left"/>
      <w:pPr>
        <w:tabs>
          <w:tab w:val="num" w:pos="2160"/>
        </w:tabs>
        <w:ind w:left="2140" w:hanging="340"/>
      </w:pPr>
      <w:rPr>
        <w:rFonts w:hint="default"/>
      </w:rPr>
    </w:lvl>
    <w:lvl w:ilvl="2" w:tplc="456834F4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3" w:tplc="4F9A1F32">
      <w:start w:val="1"/>
      <w:numFmt w:val="decimal"/>
      <w:lvlText w:val="%4) "/>
      <w:lvlJc w:val="left"/>
      <w:pPr>
        <w:tabs>
          <w:tab w:val="num" w:pos="1494"/>
        </w:tabs>
        <w:ind w:left="1474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B3671A"/>
    <w:multiLevelType w:val="hybridMultilevel"/>
    <w:tmpl w:val="5E74E85E"/>
    <w:lvl w:ilvl="0" w:tplc="E91C7202">
      <w:start w:val="1"/>
      <w:numFmt w:val="decimal"/>
      <w:lvlText w:val="%1."/>
      <w:lvlJc w:val="left"/>
      <w:pPr>
        <w:tabs>
          <w:tab w:val="num" w:pos="1040"/>
        </w:tabs>
        <w:ind w:left="102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D91B08"/>
    <w:multiLevelType w:val="hybridMultilevel"/>
    <w:tmpl w:val="4E78CA88"/>
    <w:lvl w:ilvl="0" w:tplc="81C03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 w:tplc="456834F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/>
        <w:i w:val="0"/>
        <w:color w:val="auto"/>
        <w:sz w:val="24"/>
      </w:rPr>
    </w:lvl>
    <w:lvl w:ilvl="2" w:tplc="970AD164">
      <w:start w:val="1"/>
      <w:numFmt w:val="decimal"/>
      <w:lvlText w:val="%3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3" w:tplc="456834F4">
      <w:start w:val="1"/>
      <w:numFmt w:val="bullet"/>
      <w:lvlText w:val=""/>
      <w:lvlJc w:val="left"/>
      <w:pPr>
        <w:tabs>
          <w:tab w:val="num" w:pos="2520"/>
        </w:tabs>
        <w:ind w:left="2500" w:hanging="340"/>
      </w:pPr>
      <w:rPr>
        <w:rFonts w:ascii="Symbol" w:hAnsi="Symbol" w:hint="default"/>
        <w:sz w:val="24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8C110B0"/>
    <w:multiLevelType w:val="hybridMultilevel"/>
    <w:tmpl w:val="EAD20574"/>
    <w:lvl w:ilvl="0" w:tplc="2C7E677C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24"/>
      </w:rPr>
    </w:lvl>
    <w:lvl w:ilvl="1" w:tplc="547C99A6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0D5392"/>
    <w:multiLevelType w:val="hybridMultilevel"/>
    <w:tmpl w:val="3B7A2664"/>
    <w:lvl w:ilvl="0" w:tplc="D304FA2E">
      <w:start w:val="1"/>
      <w:numFmt w:val="bullet"/>
      <w:lvlText w:val="–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 w:hint="default"/>
      </w:rPr>
    </w:lvl>
    <w:lvl w:ilvl="1" w:tplc="8C3077F8">
      <w:start w:val="1"/>
      <w:numFmt w:val="bullet"/>
      <w:lvlText w:val=""/>
      <w:lvlJc w:val="left"/>
      <w:pPr>
        <w:tabs>
          <w:tab w:val="num" w:pos="2771"/>
        </w:tabs>
        <w:ind w:left="2771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A5A2820"/>
    <w:multiLevelType w:val="hybridMultilevel"/>
    <w:tmpl w:val="2D60368A"/>
    <w:lvl w:ilvl="0" w:tplc="547C99A6">
      <w:start w:val="1"/>
      <w:numFmt w:val="bullet"/>
      <w:lvlText w:val="–"/>
      <w:lvlJc w:val="left"/>
      <w:pPr>
        <w:tabs>
          <w:tab w:val="num" w:pos="2237"/>
        </w:tabs>
        <w:ind w:left="2217" w:hanging="34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750"/>
        </w:tabs>
        <w:ind w:left="27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70"/>
        </w:tabs>
        <w:ind w:left="3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90"/>
        </w:tabs>
        <w:ind w:left="4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10"/>
        </w:tabs>
        <w:ind w:left="49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30"/>
        </w:tabs>
        <w:ind w:left="5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50"/>
        </w:tabs>
        <w:ind w:left="6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70"/>
        </w:tabs>
        <w:ind w:left="70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90"/>
        </w:tabs>
        <w:ind w:left="77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4"/>
  </w:num>
  <w:num w:numId="5">
    <w:abstractNumId w:val="7"/>
  </w:num>
  <w:num w:numId="6">
    <w:abstractNumId w:val="5"/>
  </w:num>
  <w:num w:numId="7">
    <w:abstractNumId w:val="9"/>
  </w:num>
  <w:num w:numId="8">
    <w:abstractNumId w:val="13"/>
  </w:num>
  <w:num w:numId="9">
    <w:abstractNumId w:val="8"/>
  </w:num>
  <w:num w:numId="10">
    <w:abstractNumId w:val="11"/>
  </w:num>
  <w:num w:numId="11">
    <w:abstractNumId w:val="1"/>
  </w:num>
  <w:num w:numId="12">
    <w:abstractNumId w:val="3"/>
  </w:num>
  <w:num w:numId="13">
    <w:abstractNumId w:val="12"/>
  </w:num>
  <w:num w:numId="14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2C2"/>
    <w:rsid w:val="00016708"/>
    <w:rsid w:val="000D4995"/>
    <w:rsid w:val="00114E24"/>
    <w:rsid w:val="001968F3"/>
    <w:rsid w:val="001C2073"/>
    <w:rsid w:val="001F28A2"/>
    <w:rsid w:val="002F35C6"/>
    <w:rsid w:val="004E1961"/>
    <w:rsid w:val="005772C2"/>
    <w:rsid w:val="00580BEA"/>
    <w:rsid w:val="00592D29"/>
    <w:rsid w:val="005F25B6"/>
    <w:rsid w:val="005F4E57"/>
    <w:rsid w:val="00600E3A"/>
    <w:rsid w:val="00640999"/>
    <w:rsid w:val="006B0F18"/>
    <w:rsid w:val="006B5632"/>
    <w:rsid w:val="007502C9"/>
    <w:rsid w:val="007B4541"/>
    <w:rsid w:val="007E5A5D"/>
    <w:rsid w:val="007E6182"/>
    <w:rsid w:val="00864841"/>
    <w:rsid w:val="008666C6"/>
    <w:rsid w:val="008F0738"/>
    <w:rsid w:val="008F5E95"/>
    <w:rsid w:val="009314F1"/>
    <w:rsid w:val="00934E00"/>
    <w:rsid w:val="00934F0A"/>
    <w:rsid w:val="009848FD"/>
    <w:rsid w:val="009B564E"/>
    <w:rsid w:val="009E2F52"/>
    <w:rsid w:val="009E4F7C"/>
    <w:rsid w:val="00A27377"/>
    <w:rsid w:val="00A73ECC"/>
    <w:rsid w:val="00AA7D22"/>
    <w:rsid w:val="00AC5661"/>
    <w:rsid w:val="00AE2E72"/>
    <w:rsid w:val="00AE360D"/>
    <w:rsid w:val="00B2159F"/>
    <w:rsid w:val="00B63F0A"/>
    <w:rsid w:val="00B81F48"/>
    <w:rsid w:val="00B977F4"/>
    <w:rsid w:val="00C57A60"/>
    <w:rsid w:val="00C668D0"/>
    <w:rsid w:val="00C736C3"/>
    <w:rsid w:val="00C7705B"/>
    <w:rsid w:val="00CB44FD"/>
    <w:rsid w:val="00D463B9"/>
    <w:rsid w:val="00D466AB"/>
    <w:rsid w:val="00D807D1"/>
    <w:rsid w:val="00DC1104"/>
    <w:rsid w:val="00E40858"/>
    <w:rsid w:val="00E62243"/>
    <w:rsid w:val="00E705F0"/>
    <w:rsid w:val="00E7517C"/>
    <w:rsid w:val="00EB116F"/>
    <w:rsid w:val="00EE5CED"/>
    <w:rsid w:val="00F13DA8"/>
    <w:rsid w:val="00F75EBF"/>
    <w:rsid w:val="00F927C4"/>
    <w:rsid w:val="00FC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59F12991-A13D-4C25-A344-74F7CF2FA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caption" w:semiHidden="1" w:uiPriority="35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64E"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E360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E36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8">
    <w:name w:val="heading 8"/>
    <w:basedOn w:val="Normal"/>
    <w:next w:val="Normal"/>
    <w:qFormat/>
    <w:rsid w:val="00C668D0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C668D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9B564E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9B564E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9B564E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9B564E"/>
    <w:rPr>
      <w:b/>
      <w:smallCaps/>
      <w:lang w:val="lt-LT"/>
    </w:rPr>
  </w:style>
  <w:style w:type="paragraph" w:styleId="TOC2">
    <w:name w:val="toc 2"/>
    <w:basedOn w:val="Normal"/>
    <w:next w:val="Normal"/>
    <w:autoRedefine/>
    <w:rsid w:val="009B564E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9B564E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9B564E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9B564E"/>
    <w:rPr>
      <w:b/>
      <w:caps/>
      <w:sz w:val="28"/>
      <w:u w:val="double"/>
    </w:rPr>
  </w:style>
  <w:style w:type="character" w:styleId="Hyperlink">
    <w:name w:val="Hyperlink"/>
    <w:uiPriority w:val="99"/>
    <w:rsid w:val="009B564E"/>
    <w:rPr>
      <w:color w:val="999999"/>
      <w:u w:val="none"/>
    </w:rPr>
  </w:style>
  <w:style w:type="paragraph" w:customStyle="1" w:styleId="Nervous4">
    <w:name w:val="Nervous 4"/>
    <w:basedOn w:val="Normal"/>
    <w:rsid w:val="009B56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9B564E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link w:val="TitleChar"/>
    <w:qFormat/>
    <w:rsid w:val="009B564E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9B564E"/>
  </w:style>
  <w:style w:type="paragraph" w:customStyle="1" w:styleId="Drugname">
    <w:name w:val="Drug name"/>
    <w:basedOn w:val="NormalWeb"/>
    <w:autoRedefine/>
    <w:rsid w:val="009B564E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uiPriority w:val="99"/>
    <w:unhideWhenUsed/>
    <w:rsid w:val="009B564E"/>
    <w:rPr>
      <w:szCs w:val="24"/>
    </w:rPr>
  </w:style>
  <w:style w:type="paragraph" w:styleId="BlockText">
    <w:name w:val="Block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440" w:right="2551"/>
    </w:pPr>
  </w:style>
  <w:style w:type="character" w:styleId="FollowedHyperlink">
    <w:name w:val="FollowedHyperlink"/>
    <w:rsid w:val="009B564E"/>
    <w:rPr>
      <w:color w:val="999999"/>
      <w:u w:val="none"/>
    </w:rPr>
  </w:style>
  <w:style w:type="paragraph" w:customStyle="1" w:styleId="Nervous6">
    <w:name w:val="Nervous 6"/>
    <w:basedOn w:val="Normal"/>
    <w:rsid w:val="009B564E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9B564E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9B564E"/>
    <w:rPr>
      <w:b w:val="0"/>
      <w:caps w:val="0"/>
      <w:smallCaps/>
    </w:rPr>
  </w:style>
  <w:style w:type="paragraph" w:customStyle="1" w:styleId="Nervous9">
    <w:name w:val="Nervous 9"/>
    <w:link w:val="Nervous9Char"/>
    <w:rsid w:val="009B564E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9B564E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9B564E"/>
    <w:rPr>
      <w:i/>
      <w:smallCaps/>
      <w:color w:val="999999"/>
      <w:szCs w:val="24"/>
    </w:rPr>
  </w:style>
  <w:style w:type="character" w:customStyle="1" w:styleId="Nervous9Char">
    <w:name w:val="Nervous 9 Char"/>
    <w:basedOn w:val="DefaultParagraphFont"/>
    <w:link w:val="Nervous9"/>
    <w:rsid w:val="009B564E"/>
    <w:rPr>
      <w:sz w:val="24"/>
      <w:szCs w:val="24"/>
      <w:u w:val="double" w:color="FF0000"/>
    </w:rPr>
  </w:style>
  <w:style w:type="character" w:customStyle="1" w:styleId="HeaderChar">
    <w:name w:val="Header Char"/>
    <w:basedOn w:val="DefaultParagraphFont"/>
    <w:link w:val="Header"/>
    <w:rsid w:val="009B564E"/>
    <w:rPr>
      <w:color w:val="999999"/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AE36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AE36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9B564E"/>
    <w:pPr>
      <w:tabs>
        <w:tab w:val="left" w:pos="2430"/>
      </w:tabs>
      <w:ind w:left="1710"/>
    </w:pPr>
    <w:rPr>
      <w:i/>
      <w:sz w:val="20"/>
    </w:rPr>
  </w:style>
  <w:style w:type="paragraph" w:styleId="BalloonText">
    <w:name w:val="Balloon Text"/>
    <w:basedOn w:val="Normal"/>
    <w:link w:val="BalloonTextChar"/>
    <w:rsid w:val="009B56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B564E"/>
    <w:rPr>
      <w:rFonts w:ascii="Tahoma" w:hAnsi="Tahoma" w:cs="Tahoma"/>
      <w:sz w:val="16"/>
      <w:szCs w:val="16"/>
    </w:rPr>
  </w:style>
  <w:style w:type="character" w:customStyle="1" w:styleId="Blue">
    <w:name w:val="Blue"/>
    <w:uiPriority w:val="1"/>
    <w:rsid w:val="009B564E"/>
    <w:rPr>
      <w:color w:val="0000FF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9B564E"/>
    <w:pPr>
      <w:spacing w:after="200"/>
    </w:pPr>
    <w:rPr>
      <w:i/>
      <w:iCs/>
      <w:color w:val="44546A" w:themeColor="text2"/>
      <w:szCs w:val="18"/>
    </w:rPr>
  </w:style>
  <w:style w:type="paragraph" w:customStyle="1" w:styleId="Default">
    <w:name w:val="Default"/>
    <w:rsid w:val="009B564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rugname2Char">
    <w:name w:val="Drug name 2 Char"/>
    <w:link w:val="Drugname2"/>
    <w:rsid w:val="009B564E"/>
    <w:rPr>
      <w:bCs/>
      <w:smallCaps/>
      <w:shadow/>
      <w:color w:val="FF0000"/>
      <w:sz w:val="24"/>
      <w:szCs w:val="24"/>
      <w:lang w:val="en-GB"/>
    </w:rPr>
  </w:style>
  <w:style w:type="character" w:customStyle="1" w:styleId="Eponym">
    <w:name w:val="Eponym"/>
    <w:qFormat/>
    <w:rsid w:val="009B564E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9B564E"/>
    <w:rPr>
      <w:sz w:val="24"/>
    </w:rPr>
  </w:style>
  <w:style w:type="paragraph" w:customStyle="1" w:styleId="H1">
    <w:name w:val="H1"/>
    <w:basedOn w:val="Normal"/>
    <w:next w:val="Normal"/>
    <w:uiPriority w:val="99"/>
    <w:rsid w:val="009B564E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9B564E"/>
    <w:pPr>
      <w:ind w:left="720"/>
    </w:pPr>
  </w:style>
  <w:style w:type="character" w:customStyle="1" w:styleId="Red">
    <w:name w:val="Red"/>
    <w:uiPriority w:val="1"/>
    <w:rsid w:val="009B564E"/>
    <w:rPr>
      <w:color w:val="FF0000"/>
    </w:rPr>
  </w:style>
  <w:style w:type="paragraph" w:customStyle="1" w:styleId="Sourceofpicture">
    <w:name w:val="Source of picture"/>
    <w:qFormat/>
    <w:rsid w:val="009B564E"/>
    <w:rPr>
      <w:color w:val="999999"/>
      <w:sz w:val="18"/>
      <w:szCs w:val="18"/>
    </w:rPr>
  </w:style>
  <w:style w:type="table" w:styleId="TableGrid">
    <w:name w:val="Table Grid"/>
    <w:basedOn w:val="TableNormal"/>
    <w:rsid w:val="009B5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9B564E"/>
  </w:style>
  <w:style w:type="character" w:customStyle="1" w:styleId="TitleChar">
    <w:name w:val="Title Char"/>
    <w:basedOn w:val="DefaultParagraphFont"/>
    <w:link w:val="Title"/>
    <w:rsid w:val="009B564E"/>
    <w:rPr>
      <w:b/>
      <w:bCs/>
      <w:i/>
      <w:iCs/>
      <w:sz w:val="44"/>
    </w:rPr>
  </w:style>
  <w:style w:type="paragraph" w:styleId="TOC3">
    <w:name w:val="toc 3"/>
    <w:basedOn w:val="Normal"/>
    <w:next w:val="Normal"/>
    <w:autoRedefine/>
    <w:rsid w:val="009B564E"/>
    <w:pPr>
      <w:ind w:left="480"/>
    </w:pPr>
  </w:style>
  <w:style w:type="paragraph" w:styleId="TOC5">
    <w:name w:val="toc 5"/>
    <w:basedOn w:val="Normal"/>
    <w:next w:val="Normal"/>
    <w:autoRedefine/>
    <w:rsid w:val="009B564E"/>
    <w:pPr>
      <w:ind w:left="960"/>
    </w:pPr>
  </w:style>
  <w:style w:type="paragraph" w:styleId="TOC6">
    <w:name w:val="toc 6"/>
    <w:basedOn w:val="Normal"/>
    <w:next w:val="Normal"/>
    <w:autoRedefine/>
    <w:rsid w:val="009B564E"/>
    <w:pPr>
      <w:ind w:left="1200"/>
    </w:pPr>
  </w:style>
  <w:style w:type="paragraph" w:styleId="TOC7">
    <w:name w:val="toc 7"/>
    <w:basedOn w:val="Normal"/>
    <w:next w:val="Normal"/>
    <w:autoRedefine/>
    <w:rsid w:val="009B564E"/>
    <w:pPr>
      <w:ind w:left="1440"/>
    </w:pPr>
  </w:style>
  <w:style w:type="paragraph" w:styleId="TOC8">
    <w:name w:val="toc 8"/>
    <w:basedOn w:val="Normal"/>
    <w:next w:val="Normal"/>
    <w:autoRedefine/>
    <w:rsid w:val="009B564E"/>
    <w:pPr>
      <w:ind w:left="1680"/>
    </w:pPr>
  </w:style>
  <w:style w:type="paragraph" w:styleId="TOC9">
    <w:name w:val="toc 9"/>
    <w:basedOn w:val="Normal"/>
    <w:next w:val="Normal"/>
    <w:autoRedefine/>
    <w:rsid w:val="009B564E"/>
    <w:pPr>
      <w:ind w:left="1920"/>
    </w:pPr>
  </w:style>
  <w:style w:type="character" w:customStyle="1" w:styleId="Trialname">
    <w:name w:val="Trial name"/>
    <w:qFormat/>
    <w:rsid w:val="009B564E"/>
    <w:rPr>
      <w:b/>
      <w:shadow/>
      <w:color w:val="0099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5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4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" TargetMode="External"/><Relationship Id="rId7" Type="http://schemas.openxmlformats.org/officeDocument/2006/relationships/hyperlink" Target="http://www.neurosurgeryresident.net/PN.%20Peripheral%20Neuropathies\PN7.%20Trauma%20of%20Peripheral%20Nerves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PN.%20Peripheral%20Neuropathies\PN7.%20Trauma%20of%20Peripheral%20Nerves.pdf" TargetMode="External"/><Relationship Id="rId20" Type="http://schemas.openxmlformats.org/officeDocument/2006/relationships/hyperlink" Target="http://www.neurosurgeryresident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neurosurgeryresident.net/A.%20Neuroscience%20Basics\A.%20Bibliography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23</TotalTime>
  <Pages>9</Pages>
  <Words>1873</Words>
  <Characters>10681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12529</CharactersWithSpaces>
  <SharedDoc>false</SharedDoc>
  <HLinks>
    <vt:vector size="60" baseType="variant">
      <vt:variant>
        <vt:i4>6029324</vt:i4>
      </vt:variant>
      <vt:variant>
        <vt:i4>33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6488098</vt:i4>
      </vt:variant>
      <vt:variant>
        <vt:i4>24</vt:i4>
      </vt:variant>
      <vt:variant>
        <vt:i4>0</vt:i4>
      </vt:variant>
      <vt:variant>
        <vt:i4>5</vt:i4>
      </vt:variant>
      <vt:variant>
        <vt:lpwstr>../../PN. Peripheral Neuropathies/PN7. Trauma of Peripheral Nerves.doc</vt:lpwstr>
      </vt:variant>
      <vt:variant>
        <vt:lpwstr/>
      </vt:variant>
      <vt:variant>
        <vt:i4>65618</vt:i4>
      </vt:variant>
      <vt:variant>
        <vt:i4>0</vt:i4>
      </vt:variant>
      <vt:variant>
        <vt:i4>0</vt:i4>
      </vt:variant>
      <vt:variant>
        <vt:i4>5</vt:i4>
      </vt:variant>
      <vt:variant>
        <vt:lpwstr>../../PN. Peripheral Neuropathies/PN7. Trauma of Peripheral Nerves.doc</vt:lpwstr>
      </vt:variant>
      <vt:variant>
        <vt:lpwstr>Pathophysiology</vt:lpwstr>
      </vt:variant>
      <vt:variant>
        <vt:i4>6815793</vt:i4>
      </vt:variant>
      <vt:variant>
        <vt:i4>4956</vt:i4>
      </vt:variant>
      <vt:variant>
        <vt:i4>1027</vt:i4>
      </vt:variant>
      <vt:variant>
        <vt:i4>1</vt:i4>
      </vt:variant>
      <vt:variant>
        <vt:lpwstr>D:\Viktoro\Neuroscience\A. Neuroscience Basics\A3-5. Neuron, Synapsis, Neurochemistry\00. Pictures\NA-26 (2-9).jpg</vt:lpwstr>
      </vt:variant>
      <vt:variant>
        <vt:lpwstr/>
      </vt:variant>
      <vt:variant>
        <vt:i4>2031680</vt:i4>
      </vt:variant>
      <vt:variant>
        <vt:i4>5334</vt:i4>
      </vt:variant>
      <vt:variant>
        <vt:i4>1028</vt:i4>
      </vt:variant>
      <vt:variant>
        <vt:i4>1</vt:i4>
      </vt:variant>
      <vt:variant>
        <vt:lpwstr>D:\Viktoro\Neuroscience\A. Neuroscience Basics\A3-5. Neuron, Synapsis, Neurochemistry\00. Pictures\wallerian degeneration.jpg</vt:lpwstr>
      </vt:variant>
      <vt:variant>
        <vt:lpwstr/>
      </vt:variant>
      <vt:variant>
        <vt:i4>5570640</vt:i4>
      </vt:variant>
      <vt:variant>
        <vt:i4>6630</vt:i4>
      </vt:variant>
      <vt:variant>
        <vt:i4>1030</vt:i4>
      </vt:variant>
      <vt:variant>
        <vt:i4>1</vt:i4>
      </vt:variant>
      <vt:variant>
        <vt:lpwstr>D:\Viktoro\Neuroscience\A. Neuroscience Basics\A3-5. Neuron, Synapsis, Neurochemistry\00. Pictures\Chromatolysis.jpg</vt:lpwstr>
      </vt:variant>
      <vt:variant>
        <vt:lpwstr/>
      </vt:variant>
      <vt:variant>
        <vt:i4>2228260</vt:i4>
      </vt:variant>
      <vt:variant>
        <vt:i4>6729</vt:i4>
      </vt:variant>
      <vt:variant>
        <vt:i4>1031</vt:i4>
      </vt:variant>
      <vt:variant>
        <vt:i4>1</vt:i4>
      </vt:variant>
      <vt:variant>
        <vt:lpwstr>D:\Viktoro\Neuroscience\A. Neuroscience Basics\A3-5. Neuron, Synapsis, Neurochemistry\00. Pictures\NA-26 (2-10).jpg</vt:lpwstr>
      </vt:variant>
      <vt:variant>
        <vt:lpwstr/>
      </vt:variant>
      <vt:variant>
        <vt:i4>6553659</vt:i4>
      </vt:variant>
      <vt:variant>
        <vt:i4>7034</vt:i4>
      </vt:variant>
      <vt:variant>
        <vt:i4>1032</vt:i4>
      </vt:variant>
      <vt:variant>
        <vt:i4>1</vt:i4>
      </vt:variant>
      <vt:variant>
        <vt:lpwstr>D:\Viktoro\Neuroscience\A. Neuroscience Basics\A3-5. Neuron, Synapsis, Neurochemistry\00. Pictures\Perikaryon reaction.jpg</vt:lpwstr>
      </vt:variant>
      <vt:variant>
        <vt:lpwstr/>
      </vt:variant>
      <vt:variant>
        <vt:i4>7995441</vt:i4>
      </vt:variant>
      <vt:variant>
        <vt:i4>25960</vt:i4>
      </vt:variant>
      <vt:variant>
        <vt:i4>1033</vt:i4>
      </vt:variant>
      <vt:variant>
        <vt:i4>1</vt:i4>
      </vt:variant>
      <vt:variant>
        <vt:lpwstr>D:\Viktoro\Neuroscience\A. Neuroscience Basics\A3-5. Neuron, Synapsis, Neurochemistry\00. Pictures\Axon damage.jpg</vt:lpwstr>
      </vt:variant>
      <vt:variant>
        <vt:lpwstr/>
      </vt:variant>
      <vt:variant>
        <vt:i4>4456520</vt:i4>
      </vt:variant>
      <vt:variant>
        <vt:i4>28176</vt:i4>
      </vt:variant>
      <vt:variant>
        <vt:i4>1034</vt:i4>
      </vt:variant>
      <vt:variant>
        <vt:i4>1</vt:i4>
      </vt:variant>
      <vt:variant>
        <vt:lpwstr>D:\Viktoro\Neuroscience\A. Neuroscience Basics\A3-5. Neuron, Synapsis, Neurochemistry\00. Pictures\Neuronophagia.jpg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11</cp:revision>
  <cp:lastPrinted>2019-04-21T04:50:00Z</cp:lastPrinted>
  <dcterms:created xsi:type="dcterms:W3CDTF">2016-02-16T18:15:00Z</dcterms:created>
  <dcterms:modified xsi:type="dcterms:W3CDTF">2019-04-21T04:50:00Z</dcterms:modified>
</cp:coreProperties>
</file>