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908F0" w:rsidRDefault="003755D2" w:rsidP="00A65185">
      <w:pPr>
        <w:pStyle w:val="Title"/>
      </w:pPr>
      <w:bookmarkStart w:id="0" w:name="_GoBack"/>
      <w:r>
        <w:t>Nucleus basalis of Meynert</w:t>
      </w:r>
    </w:p>
    <w:p w:rsidR="008718F4" w:rsidRDefault="008718F4" w:rsidP="008718F4">
      <w:pPr>
        <w:spacing w:after="120"/>
        <w:jc w:val="right"/>
      </w:pPr>
      <w:r>
        <w:t xml:space="preserve">Last updated: </w:t>
      </w:r>
      <w:r>
        <w:fldChar w:fldCharType="begin"/>
      </w:r>
      <w:r>
        <w:instrText xml:space="preserve"> SAVEDATE  \@ "MMMM d, yyyy"  \* MERGEFORMAT </w:instrText>
      </w:r>
      <w:r>
        <w:fldChar w:fldCharType="separate"/>
      </w:r>
      <w:r w:rsidR="00CD0C40">
        <w:rPr>
          <w:noProof/>
        </w:rPr>
        <w:t>April 21, 2019</w:t>
      </w:r>
      <w:r>
        <w:fldChar w:fldCharType="end"/>
      </w:r>
    </w:p>
    <w:p w:rsidR="00D66EAB" w:rsidRDefault="00FF3BD5">
      <w:pPr>
        <w:pStyle w:val="TOC3"/>
        <w:tabs>
          <w:tab w:val="right" w:leader="dot" w:pos="9912"/>
        </w:tabs>
        <w:rPr>
          <w:rFonts w:asciiTheme="minorHAnsi" w:eastAsiaTheme="minorEastAsia" w:hAnsiTheme="minorHAnsi" w:cstheme="minorBidi"/>
          <w:noProof/>
          <w:sz w:val="22"/>
          <w:szCs w:val="22"/>
        </w:rPr>
      </w:pPr>
      <w:r>
        <w:rPr>
          <w:szCs w:val="24"/>
        </w:rPr>
        <w:fldChar w:fldCharType="begin"/>
      </w:r>
      <w:r>
        <w:rPr>
          <w:szCs w:val="24"/>
        </w:rPr>
        <w:instrText xml:space="preserve"> TOC \h \z \t "Nervous 1,1,Nervous 5,2,Nervous 6,3" </w:instrText>
      </w:r>
      <w:r>
        <w:rPr>
          <w:szCs w:val="24"/>
        </w:rPr>
        <w:fldChar w:fldCharType="separate"/>
      </w:r>
      <w:hyperlink w:anchor="_Toc6655865" w:history="1">
        <w:r w:rsidR="00D66EAB" w:rsidRPr="00243210">
          <w:rPr>
            <w:rStyle w:val="Hyperlink"/>
            <w:noProof/>
          </w:rPr>
          <w:t>Articles to check</w:t>
        </w:r>
        <w:r w:rsidR="00D66EAB">
          <w:rPr>
            <w:noProof/>
            <w:webHidden/>
          </w:rPr>
          <w:tab/>
        </w:r>
        <w:r w:rsidR="00D66EAB">
          <w:rPr>
            <w:noProof/>
            <w:webHidden/>
          </w:rPr>
          <w:fldChar w:fldCharType="begin"/>
        </w:r>
        <w:r w:rsidR="00D66EAB">
          <w:rPr>
            <w:noProof/>
            <w:webHidden/>
          </w:rPr>
          <w:instrText xml:space="preserve"> PAGEREF _Toc6655865 \h </w:instrText>
        </w:r>
        <w:r w:rsidR="00D66EAB">
          <w:rPr>
            <w:noProof/>
            <w:webHidden/>
          </w:rPr>
        </w:r>
        <w:r w:rsidR="00D66EAB">
          <w:rPr>
            <w:noProof/>
            <w:webHidden/>
          </w:rPr>
          <w:fldChar w:fldCharType="separate"/>
        </w:r>
        <w:r w:rsidR="00CD0C40">
          <w:rPr>
            <w:noProof/>
            <w:webHidden/>
          </w:rPr>
          <w:t>1</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66" w:history="1">
        <w:r w:rsidR="00D66EAB" w:rsidRPr="00243210">
          <w:rPr>
            <w:rStyle w:val="Hyperlink"/>
            <w:noProof/>
          </w:rPr>
          <w:t>Anatomy</w:t>
        </w:r>
        <w:r w:rsidR="00D66EAB">
          <w:rPr>
            <w:noProof/>
            <w:webHidden/>
          </w:rPr>
          <w:tab/>
        </w:r>
        <w:r w:rsidR="00D66EAB">
          <w:rPr>
            <w:noProof/>
            <w:webHidden/>
          </w:rPr>
          <w:fldChar w:fldCharType="begin"/>
        </w:r>
        <w:r w:rsidR="00D66EAB">
          <w:rPr>
            <w:noProof/>
            <w:webHidden/>
          </w:rPr>
          <w:instrText xml:space="preserve"> PAGEREF _Toc6655866 \h </w:instrText>
        </w:r>
        <w:r w:rsidR="00D66EAB">
          <w:rPr>
            <w:noProof/>
            <w:webHidden/>
          </w:rPr>
        </w:r>
        <w:r w:rsidR="00D66EAB">
          <w:rPr>
            <w:noProof/>
            <w:webHidden/>
          </w:rPr>
          <w:fldChar w:fldCharType="separate"/>
        </w:r>
        <w:r>
          <w:rPr>
            <w:noProof/>
            <w:webHidden/>
          </w:rPr>
          <w:t>1</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67" w:history="1">
        <w:r w:rsidR="00D66EAB" w:rsidRPr="00243210">
          <w:rPr>
            <w:rStyle w:val="Hyperlink"/>
            <w:noProof/>
          </w:rPr>
          <w:t>Connectivity</w:t>
        </w:r>
        <w:r w:rsidR="00D66EAB">
          <w:rPr>
            <w:noProof/>
            <w:webHidden/>
          </w:rPr>
          <w:tab/>
        </w:r>
        <w:r w:rsidR="00D66EAB">
          <w:rPr>
            <w:noProof/>
            <w:webHidden/>
          </w:rPr>
          <w:fldChar w:fldCharType="begin"/>
        </w:r>
        <w:r w:rsidR="00D66EAB">
          <w:rPr>
            <w:noProof/>
            <w:webHidden/>
          </w:rPr>
          <w:instrText xml:space="preserve"> PAGEREF _Toc6655867 \h </w:instrText>
        </w:r>
        <w:r w:rsidR="00D66EAB">
          <w:rPr>
            <w:noProof/>
            <w:webHidden/>
          </w:rPr>
        </w:r>
        <w:r w:rsidR="00D66EAB">
          <w:rPr>
            <w:noProof/>
            <w:webHidden/>
          </w:rPr>
          <w:fldChar w:fldCharType="separate"/>
        </w:r>
        <w:r>
          <w:rPr>
            <w:noProof/>
            <w:webHidden/>
          </w:rPr>
          <w:t>5</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68" w:history="1">
        <w:r w:rsidR="00D66EAB" w:rsidRPr="00243210">
          <w:rPr>
            <w:rStyle w:val="Hyperlink"/>
            <w:noProof/>
          </w:rPr>
          <w:t>MR imaging</w:t>
        </w:r>
        <w:r w:rsidR="00D66EAB">
          <w:rPr>
            <w:noProof/>
            <w:webHidden/>
          </w:rPr>
          <w:tab/>
        </w:r>
        <w:r w:rsidR="00D66EAB">
          <w:rPr>
            <w:noProof/>
            <w:webHidden/>
          </w:rPr>
          <w:fldChar w:fldCharType="begin"/>
        </w:r>
        <w:r w:rsidR="00D66EAB">
          <w:rPr>
            <w:noProof/>
            <w:webHidden/>
          </w:rPr>
          <w:instrText xml:space="preserve"> PAGEREF _Toc6655868 \h </w:instrText>
        </w:r>
        <w:r w:rsidR="00D66EAB">
          <w:rPr>
            <w:noProof/>
            <w:webHidden/>
          </w:rPr>
        </w:r>
        <w:r w:rsidR="00D66EAB">
          <w:rPr>
            <w:noProof/>
            <w:webHidden/>
          </w:rPr>
          <w:fldChar w:fldCharType="separate"/>
        </w:r>
        <w:r>
          <w:rPr>
            <w:noProof/>
            <w:webHidden/>
          </w:rPr>
          <w:t>7</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69" w:history="1">
        <w:r w:rsidR="00D66EAB" w:rsidRPr="00243210">
          <w:rPr>
            <w:rStyle w:val="Hyperlink"/>
            <w:noProof/>
          </w:rPr>
          <w:t>Anatomical borders</w:t>
        </w:r>
        <w:r w:rsidR="00D66EAB">
          <w:rPr>
            <w:noProof/>
            <w:webHidden/>
          </w:rPr>
          <w:tab/>
        </w:r>
        <w:r w:rsidR="00D66EAB">
          <w:rPr>
            <w:noProof/>
            <w:webHidden/>
          </w:rPr>
          <w:fldChar w:fldCharType="begin"/>
        </w:r>
        <w:r w:rsidR="00D66EAB">
          <w:rPr>
            <w:noProof/>
            <w:webHidden/>
          </w:rPr>
          <w:instrText xml:space="preserve"> PAGEREF _Toc6655869 \h </w:instrText>
        </w:r>
        <w:r w:rsidR="00D66EAB">
          <w:rPr>
            <w:noProof/>
            <w:webHidden/>
          </w:rPr>
        </w:r>
        <w:r w:rsidR="00D66EAB">
          <w:rPr>
            <w:noProof/>
            <w:webHidden/>
          </w:rPr>
          <w:fldChar w:fldCharType="separate"/>
        </w:r>
        <w:r>
          <w:rPr>
            <w:noProof/>
            <w:webHidden/>
          </w:rPr>
          <w:t>7</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70" w:history="1">
        <w:r w:rsidR="00D66EAB" w:rsidRPr="00243210">
          <w:rPr>
            <w:rStyle w:val="Hyperlink"/>
            <w:noProof/>
          </w:rPr>
          <w:t>Subnuclei of basal forebrain</w:t>
        </w:r>
        <w:r w:rsidR="00D66EAB">
          <w:rPr>
            <w:noProof/>
            <w:webHidden/>
          </w:rPr>
          <w:tab/>
        </w:r>
        <w:r w:rsidR="00D66EAB">
          <w:rPr>
            <w:noProof/>
            <w:webHidden/>
          </w:rPr>
          <w:fldChar w:fldCharType="begin"/>
        </w:r>
        <w:r w:rsidR="00D66EAB">
          <w:rPr>
            <w:noProof/>
            <w:webHidden/>
          </w:rPr>
          <w:instrText xml:space="preserve"> PAGEREF _Toc6655870 \h </w:instrText>
        </w:r>
        <w:r w:rsidR="00D66EAB">
          <w:rPr>
            <w:noProof/>
            <w:webHidden/>
          </w:rPr>
        </w:r>
        <w:r w:rsidR="00D66EAB">
          <w:rPr>
            <w:noProof/>
            <w:webHidden/>
          </w:rPr>
          <w:fldChar w:fldCharType="separate"/>
        </w:r>
        <w:r>
          <w:rPr>
            <w:noProof/>
            <w:webHidden/>
          </w:rPr>
          <w:t>8</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71" w:history="1">
        <w:r w:rsidR="00D66EAB" w:rsidRPr="00243210">
          <w:rPr>
            <w:rStyle w:val="Hyperlink"/>
            <w:noProof/>
          </w:rPr>
          <w:t>Histology</w:t>
        </w:r>
        <w:r w:rsidR="00D66EAB">
          <w:rPr>
            <w:noProof/>
            <w:webHidden/>
          </w:rPr>
          <w:tab/>
        </w:r>
        <w:r w:rsidR="00D66EAB">
          <w:rPr>
            <w:noProof/>
            <w:webHidden/>
          </w:rPr>
          <w:fldChar w:fldCharType="begin"/>
        </w:r>
        <w:r w:rsidR="00D66EAB">
          <w:rPr>
            <w:noProof/>
            <w:webHidden/>
          </w:rPr>
          <w:instrText xml:space="preserve"> PAGEREF _Toc6655871 \h </w:instrText>
        </w:r>
        <w:r w:rsidR="00D66EAB">
          <w:rPr>
            <w:noProof/>
            <w:webHidden/>
          </w:rPr>
        </w:r>
        <w:r w:rsidR="00D66EAB">
          <w:rPr>
            <w:noProof/>
            <w:webHidden/>
          </w:rPr>
          <w:fldChar w:fldCharType="separate"/>
        </w:r>
        <w:r>
          <w:rPr>
            <w:noProof/>
            <w:webHidden/>
          </w:rPr>
          <w:t>9</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72" w:history="1">
        <w:r w:rsidR="00D66EAB" w:rsidRPr="00243210">
          <w:rPr>
            <w:rStyle w:val="Hyperlink"/>
            <w:noProof/>
          </w:rPr>
          <w:t>Function</w:t>
        </w:r>
        <w:r w:rsidR="00D66EAB">
          <w:rPr>
            <w:noProof/>
            <w:webHidden/>
          </w:rPr>
          <w:tab/>
        </w:r>
        <w:r w:rsidR="00D66EAB">
          <w:rPr>
            <w:noProof/>
            <w:webHidden/>
          </w:rPr>
          <w:fldChar w:fldCharType="begin"/>
        </w:r>
        <w:r w:rsidR="00D66EAB">
          <w:rPr>
            <w:noProof/>
            <w:webHidden/>
          </w:rPr>
          <w:instrText xml:space="preserve"> PAGEREF _Toc6655872 \h </w:instrText>
        </w:r>
        <w:r w:rsidR="00D66EAB">
          <w:rPr>
            <w:noProof/>
            <w:webHidden/>
          </w:rPr>
        </w:r>
        <w:r w:rsidR="00D66EAB">
          <w:rPr>
            <w:noProof/>
            <w:webHidden/>
          </w:rPr>
          <w:fldChar w:fldCharType="separate"/>
        </w:r>
        <w:r>
          <w:rPr>
            <w:noProof/>
            <w:webHidden/>
          </w:rPr>
          <w:t>9</w:t>
        </w:r>
        <w:r w:rsidR="00D66EAB">
          <w:rPr>
            <w:noProof/>
            <w:webHidden/>
          </w:rPr>
          <w:fldChar w:fldCharType="end"/>
        </w:r>
      </w:hyperlink>
    </w:p>
    <w:p w:rsidR="00D66EAB" w:rsidRDefault="00CD0C40">
      <w:pPr>
        <w:pStyle w:val="TOC2"/>
        <w:tabs>
          <w:tab w:val="right" w:leader="dot" w:pos="9912"/>
        </w:tabs>
        <w:rPr>
          <w:rFonts w:asciiTheme="minorHAnsi" w:eastAsiaTheme="minorEastAsia" w:hAnsiTheme="minorHAnsi" w:cstheme="minorBidi"/>
          <w:smallCaps w:val="0"/>
          <w:noProof/>
          <w:sz w:val="22"/>
          <w:szCs w:val="22"/>
        </w:rPr>
      </w:pPr>
      <w:hyperlink w:anchor="_Toc6655873" w:history="1">
        <w:r w:rsidR="00D66EAB" w:rsidRPr="00243210">
          <w:rPr>
            <w:rStyle w:val="Hyperlink"/>
            <w:noProof/>
          </w:rPr>
          <w:t>Cogntive Function</w:t>
        </w:r>
        <w:r w:rsidR="00D66EAB">
          <w:rPr>
            <w:noProof/>
            <w:webHidden/>
          </w:rPr>
          <w:tab/>
        </w:r>
        <w:r w:rsidR="00D66EAB">
          <w:rPr>
            <w:noProof/>
            <w:webHidden/>
          </w:rPr>
          <w:fldChar w:fldCharType="begin"/>
        </w:r>
        <w:r w:rsidR="00D66EAB">
          <w:rPr>
            <w:noProof/>
            <w:webHidden/>
          </w:rPr>
          <w:instrText xml:space="preserve"> PAGEREF _Toc6655873 \h </w:instrText>
        </w:r>
        <w:r w:rsidR="00D66EAB">
          <w:rPr>
            <w:noProof/>
            <w:webHidden/>
          </w:rPr>
        </w:r>
        <w:r w:rsidR="00D66EAB">
          <w:rPr>
            <w:noProof/>
            <w:webHidden/>
          </w:rPr>
          <w:fldChar w:fldCharType="separate"/>
        </w:r>
        <w:r>
          <w:rPr>
            <w:noProof/>
            <w:webHidden/>
          </w:rPr>
          <w:t>10</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74" w:history="1">
        <w:r w:rsidR="00D66EAB" w:rsidRPr="00243210">
          <w:rPr>
            <w:rStyle w:val="Hyperlink"/>
            <w:noProof/>
          </w:rPr>
          <w:t>Function: memory</w:t>
        </w:r>
        <w:r w:rsidR="00D66EAB">
          <w:rPr>
            <w:noProof/>
            <w:webHidden/>
          </w:rPr>
          <w:tab/>
        </w:r>
        <w:r w:rsidR="00D66EAB">
          <w:rPr>
            <w:noProof/>
            <w:webHidden/>
          </w:rPr>
          <w:fldChar w:fldCharType="begin"/>
        </w:r>
        <w:r w:rsidR="00D66EAB">
          <w:rPr>
            <w:noProof/>
            <w:webHidden/>
          </w:rPr>
          <w:instrText xml:space="preserve"> PAGEREF _Toc6655874 \h </w:instrText>
        </w:r>
        <w:r w:rsidR="00D66EAB">
          <w:rPr>
            <w:noProof/>
            <w:webHidden/>
          </w:rPr>
        </w:r>
        <w:r w:rsidR="00D66EAB">
          <w:rPr>
            <w:noProof/>
            <w:webHidden/>
          </w:rPr>
          <w:fldChar w:fldCharType="separate"/>
        </w:r>
        <w:r>
          <w:rPr>
            <w:noProof/>
            <w:webHidden/>
          </w:rPr>
          <w:t>10</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75" w:history="1">
        <w:r w:rsidR="00D66EAB" w:rsidRPr="00243210">
          <w:rPr>
            <w:rStyle w:val="Hyperlink"/>
            <w:noProof/>
          </w:rPr>
          <w:t>Function: attention</w:t>
        </w:r>
        <w:r w:rsidR="00D66EAB">
          <w:rPr>
            <w:noProof/>
            <w:webHidden/>
          </w:rPr>
          <w:tab/>
        </w:r>
        <w:r w:rsidR="00D66EAB">
          <w:rPr>
            <w:noProof/>
            <w:webHidden/>
          </w:rPr>
          <w:fldChar w:fldCharType="begin"/>
        </w:r>
        <w:r w:rsidR="00D66EAB">
          <w:rPr>
            <w:noProof/>
            <w:webHidden/>
          </w:rPr>
          <w:instrText xml:space="preserve"> PAGEREF _Toc6655875 \h </w:instrText>
        </w:r>
        <w:r w:rsidR="00D66EAB">
          <w:rPr>
            <w:noProof/>
            <w:webHidden/>
          </w:rPr>
        </w:r>
        <w:r w:rsidR="00D66EAB">
          <w:rPr>
            <w:noProof/>
            <w:webHidden/>
          </w:rPr>
          <w:fldChar w:fldCharType="separate"/>
        </w:r>
        <w:r>
          <w:rPr>
            <w:noProof/>
            <w:webHidden/>
          </w:rPr>
          <w:t>10</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76" w:history="1">
        <w:r w:rsidR="00D66EAB" w:rsidRPr="00243210">
          <w:rPr>
            <w:rStyle w:val="Hyperlink"/>
            <w:noProof/>
          </w:rPr>
          <w:t>Function: modulation of the behavioural state</w:t>
        </w:r>
        <w:r w:rsidR="00D66EAB">
          <w:rPr>
            <w:noProof/>
            <w:webHidden/>
          </w:rPr>
          <w:tab/>
        </w:r>
        <w:r w:rsidR="00D66EAB">
          <w:rPr>
            <w:noProof/>
            <w:webHidden/>
          </w:rPr>
          <w:fldChar w:fldCharType="begin"/>
        </w:r>
        <w:r w:rsidR="00D66EAB">
          <w:rPr>
            <w:noProof/>
            <w:webHidden/>
          </w:rPr>
          <w:instrText xml:space="preserve"> PAGEREF _Toc6655876 \h </w:instrText>
        </w:r>
        <w:r w:rsidR="00D66EAB">
          <w:rPr>
            <w:noProof/>
            <w:webHidden/>
          </w:rPr>
        </w:r>
        <w:r w:rsidR="00D66EAB">
          <w:rPr>
            <w:noProof/>
            <w:webHidden/>
          </w:rPr>
          <w:fldChar w:fldCharType="separate"/>
        </w:r>
        <w:r>
          <w:rPr>
            <w:noProof/>
            <w:webHidden/>
          </w:rPr>
          <w:t>11</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77" w:history="1">
        <w:r w:rsidR="00D66EAB" w:rsidRPr="00243210">
          <w:rPr>
            <w:rStyle w:val="Hyperlink"/>
            <w:noProof/>
          </w:rPr>
          <w:t>Clinical significance</w:t>
        </w:r>
        <w:r w:rsidR="00D66EAB">
          <w:rPr>
            <w:noProof/>
            <w:webHidden/>
          </w:rPr>
          <w:tab/>
        </w:r>
        <w:r w:rsidR="00D66EAB">
          <w:rPr>
            <w:noProof/>
            <w:webHidden/>
          </w:rPr>
          <w:fldChar w:fldCharType="begin"/>
        </w:r>
        <w:r w:rsidR="00D66EAB">
          <w:rPr>
            <w:noProof/>
            <w:webHidden/>
          </w:rPr>
          <w:instrText xml:space="preserve"> PAGEREF _Toc6655877 \h </w:instrText>
        </w:r>
        <w:r w:rsidR="00D66EAB">
          <w:rPr>
            <w:noProof/>
            <w:webHidden/>
          </w:rPr>
        </w:r>
        <w:r w:rsidR="00D66EAB">
          <w:rPr>
            <w:noProof/>
            <w:webHidden/>
          </w:rPr>
          <w:fldChar w:fldCharType="separate"/>
        </w:r>
        <w:r>
          <w:rPr>
            <w:noProof/>
            <w:webHidden/>
          </w:rPr>
          <w:t>11</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78" w:history="1">
        <w:r w:rsidR="00D66EAB" w:rsidRPr="00243210">
          <w:rPr>
            <w:rStyle w:val="Hyperlink"/>
            <w:noProof/>
          </w:rPr>
          <w:t>Role in Cognitive dysfunction in PD</w:t>
        </w:r>
        <w:r w:rsidR="00D66EAB">
          <w:rPr>
            <w:noProof/>
            <w:webHidden/>
          </w:rPr>
          <w:tab/>
        </w:r>
        <w:r w:rsidR="00D66EAB">
          <w:rPr>
            <w:noProof/>
            <w:webHidden/>
          </w:rPr>
          <w:fldChar w:fldCharType="begin"/>
        </w:r>
        <w:r w:rsidR="00D66EAB">
          <w:rPr>
            <w:noProof/>
            <w:webHidden/>
          </w:rPr>
          <w:instrText xml:space="preserve"> PAGEREF _Toc6655878 \h </w:instrText>
        </w:r>
        <w:r w:rsidR="00D66EAB">
          <w:rPr>
            <w:noProof/>
            <w:webHidden/>
          </w:rPr>
        </w:r>
        <w:r w:rsidR="00D66EAB">
          <w:rPr>
            <w:noProof/>
            <w:webHidden/>
          </w:rPr>
          <w:fldChar w:fldCharType="separate"/>
        </w:r>
        <w:r>
          <w:rPr>
            <w:noProof/>
            <w:webHidden/>
          </w:rPr>
          <w:t>13</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79" w:history="1">
        <w:r w:rsidR="00D66EAB" w:rsidRPr="00243210">
          <w:rPr>
            <w:rStyle w:val="Hyperlink"/>
            <w:noProof/>
          </w:rPr>
          <w:t>Hanyu</w:t>
        </w:r>
        <w:r w:rsidR="00D66EAB">
          <w:rPr>
            <w:noProof/>
            <w:webHidden/>
          </w:rPr>
          <w:tab/>
        </w:r>
        <w:r w:rsidR="00D66EAB">
          <w:rPr>
            <w:noProof/>
            <w:webHidden/>
          </w:rPr>
          <w:fldChar w:fldCharType="begin"/>
        </w:r>
        <w:r w:rsidR="00D66EAB">
          <w:rPr>
            <w:noProof/>
            <w:webHidden/>
          </w:rPr>
          <w:instrText xml:space="preserve"> PAGEREF _Toc6655879 \h </w:instrText>
        </w:r>
        <w:r w:rsidR="00D66EAB">
          <w:rPr>
            <w:noProof/>
            <w:webHidden/>
          </w:rPr>
        </w:r>
        <w:r w:rsidR="00D66EAB">
          <w:rPr>
            <w:noProof/>
            <w:webHidden/>
          </w:rPr>
          <w:fldChar w:fldCharType="separate"/>
        </w:r>
        <w:r>
          <w:rPr>
            <w:noProof/>
            <w:webHidden/>
          </w:rPr>
          <w:t>13</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80" w:history="1">
        <w:r w:rsidR="00D66EAB" w:rsidRPr="00243210">
          <w:rPr>
            <w:rStyle w:val="Hyperlink"/>
            <w:noProof/>
          </w:rPr>
          <w:t>Choi</w:t>
        </w:r>
        <w:r w:rsidR="00D66EAB">
          <w:rPr>
            <w:noProof/>
            <w:webHidden/>
          </w:rPr>
          <w:tab/>
        </w:r>
        <w:r w:rsidR="00D66EAB">
          <w:rPr>
            <w:noProof/>
            <w:webHidden/>
          </w:rPr>
          <w:fldChar w:fldCharType="begin"/>
        </w:r>
        <w:r w:rsidR="00D66EAB">
          <w:rPr>
            <w:noProof/>
            <w:webHidden/>
          </w:rPr>
          <w:instrText xml:space="preserve"> PAGEREF _Toc6655880 \h </w:instrText>
        </w:r>
        <w:r w:rsidR="00D66EAB">
          <w:rPr>
            <w:noProof/>
            <w:webHidden/>
          </w:rPr>
        </w:r>
        <w:r w:rsidR="00D66EAB">
          <w:rPr>
            <w:noProof/>
            <w:webHidden/>
          </w:rPr>
          <w:fldChar w:fldCharType="separate"/>
        </w:r>
        <w:r>
          <w:rPr>
            <w:noProof/>
            <w:webHidden/>
          </w:rPr>
          <w:t>14</w:t>
        </w:r>
        <w:r w:rsidR="00D66EAB">
          <w:rPr>
            <w:noProof/>
            <w:webHidden/>
          </w:rPr>
          <w:fldChar w:fldCharType="end"/>
        </w:r>
      </w:hyperlink>
    </w:p>
    <w:p w:rsidR="00D66EAB" w:rsidRDefault="00CD0C40">
      <w:pPr>
        <w:pStyle w:val="TOC3"/>
        <w:tabs>
          <w:tab w:val="right" w:leader="dot" w:pos="9912"/>
        </w:tabs>
        <w:rPr>
          <w:rFonts w:asciiTheme="minorHAnsi" w:eastAsiaTheme="minorEastAsia" w:hAnsiTheme="minorHAnsi" w:cstheme="minorBidi"/>
          <w:noProof/>
          <w:sz w:val="22"/>
          <w:szCs w:val="22"/>
        </w:rPr>
      </w:pPr>
      <w:hyperlink w:anchor="_Toc6655881" w:history="1">
        <w:r w:rsidR="00D66EAB" w:rsidRPr="00243210">
          <w:rPr>
            <w:rStyle w:val="Hyperlink"/>
            <w:noProof/>
          </w:rPr>
          <w:t>Teipel</w:t>
        </w:r>
        <w:r w:rsidR="00D66EAB">
          <w:rPr>
            <w:noProof/>
            <w:webHidden/>
          </w:rPr>
          <w:tab/>
        </w:r>
        <w:r w:rsidR="00D66EAB">
          <w:rPr>
            <w:noProof/>
            <w:webHidden/>
          </w:rPr>
          <w:fldChar w:fldCharType="begin"/>
        </w:r>
        <w:r w:rsidR="00D66EAB">
          <w:rPr>
            <w:noProof/>
            <w:webHidden/>
          </w:rPr>
          <w:instrText xml:space="preserve"> PAGEREF _Toc6655881 \h </w:instrText>
        </w:r>
        <w:r w:rsidR="00D66EAB">
          <w:rPr>
            <w:noProof/>
            <w:webHidden/>
          </w:rPr>
        </w:r>
        <w:r w:rsidR="00D66EAB">
          <w:rPr>
            <w:noProof/>
            <w:webHidden/>
          </w:rPr>
          <w:fldChar w:fldCharType="separate"/>
        </w:r>
        <w:r>
          <w:rPr>
            <w:noProof/>
            <w:webHidden/>
          </w:rPr>
          <w:t>14</w:t>
        </w:r>
        <w:r w:rsidR="00D66EAB">
          <w:rPr>
            <w:noProof/>
            <w:webHidden/>
          </w:rPr>
          <w:fldChar w:fldCharType="end"/>
        </w:r>
      </w:hyperlink>
    </w:p>
    <w:p w:rsidR="00D66EAB" w:rsidRDefault="00CD0C40">
      <w:pPr>
        <w:pStyle w:val="TOC1"/>
        <w:tabs>
          <w:tab w:val="right" w:leader="dot" w:pos="9912"/>
        </w:tabs>
        <w:rPr>
          <w:rFonts w:asciiTheme="minorHAnsi" w:eastAsiaTheme="minorEastAsia" w:hAnsiTheme="minorHAnsi" w:cstheme="minorBidi"/>
          <w:b w:val="0"/>
          <w:smallCaps w:val="0"/>
          <w:noProof/>
          <w:sz w:val="22"/>
          <w:szCs w:val="22"/>
          <w:lang w:val="en-US"/>
        </w:rPr>
      </w:pPr>
      <w:hyperlink w:anchor="_Toc6655882" w:history="1">
        <w:r w:rsidR="00D66EAB" w:rsidRPr="00243210">
          <w:rPr>
            <w:rStyle w:val="Hyperlink"/>
            <w:noProof/>
          </w:rPr>
          <w:t>DBS of NBM</w:t>
        </w:r>
        <w:r w:rsidR="00D66EAB">
          <w:rPr>
            <w:noProof/>
            <w:webHidden/>
          </w:rPr>
          <w:tab/>
        </w:r>
        <w:r w:rsidR="00D66EAB">
          <w:rPr>
            <w:noProof/>
            <w:webHidden/>
          </w:rPr>
          <w:fldChar w:fldCharType="begin"/>
        </w:r>
        <w:r w:rsidR="00D66EAB">
          <w:rPr>
            <w:noProof/>
            <w:webHidden/>
          </w:rPr>
          <w:instrText xml:space="preserve"> PAGEREF _Toc6655882 \h </w:instrText>
        </w:r>
        <w:r w:rsidR="00D66EAB">
          <w:rPr>
            <w:noProof/>
            <w:webHidden/>
          </w:rPr>
        </w:r>
        <w:r w:rsidR="00D66EAB">
          <w:rPr>
            <w:noProof/>
            <w:webHidden/>
          </w:rPr>
          <w:fldChar w:fldCharType="separate"/>
        </w:r>
        <w:r>
          <w:rPr>
            <w:noProof/>
            <w:webHidden/>
          </w:rPr>
          <w:t>14</w:t>
        </w:r>
        <w:r w:rsidR="00D66EAB">
          <w:rPr>
            <w:noProof/>
            <w:webHidden/>
          </w:rPr>
          <w:fldChar w:fldCharType="end"/>
        </w:r>
      </w:hyperlink>
    </w:p>
    <w:p w:rsidR="00D66EAB" w:rsidRDefault="00CD0C40">
      <w:pPr>
        <w:pStyle w:val="TOC2"/>
        <w:tabs>
          <w:tab w:val="right" w:leader="dot" w:pos="9912"/>
        </w:tabs>
        <w:rPr>
          <w:rFonts w:asciiTheme="minorHAnsi" w:eastAsiaTheme="minorEastAsia" w:hAnsiTheme="minorHAnsi" w:cstheme="minorBidi"/>
          <w:smallCaps w:val="0"/>
          <w:noProof/>
          <w:sz w:val="22"/>
          <w:szCs w:val="22"/>
        </w:rPr>
      </w:pPr>
      <w:hyperlink w:anchor="_Toc6655883" w:history="1">
        <w:r w:rsidR="00D66EAB" w:rsidRPr="00243210">
          <w:rPr>
            <w:rStyle w:val="Hyperlink"/>
            <w:noProof/>
          </w:rPr>
          <w:t>Trials</w:t>
        </w:r>
        <w:r w:rsidR="00D66EAB">
          <w:rPr>
            <w:noProof/>
            <w:webHidden/>
          </w:rPr>
          <w:tab/>
        </w:r>
        <w:r w:rsidR="00D66EAB">
          <w:rPr>
            <w:noProof/>
            <w:webHidden/>
          </w:rPr>
          <w:fldChar w:fldCharType="begin"/>
        </w:r>
        <w:r w:rsidR="00D66EAB">
          <w:rPr>
            <w:noProof/>
            <w:webHidden/>
          </w:rPr>
          <w:instrText xml:space="preserve"> PAGEREF _Toc6655883 \h </w:instrText>
        </w:r>
        <w:r w:rsidR="00D66EAB">
          <w:rPr>
            <w:noProof/>
            <w:webHidden/>
          </w:rPr>
        </w:r>
        <w:r w:rsidR="00D66EAB">
          <w:rPr>
            <w:noProof/>
            <w:webHidden/>
          </w:rPr>
          <w:fldChar w:fldCharType="separate"/>
        </w:r>
        <w:r>
          <w:rPr>
            <w:noProof/>
            <w:webHidden/>
          </w:rPr>
          <w:t>15</w:t>
        </w:r>
        <w:r w:rsidR="00D66EAB">
          <w:rPr>
            <w:noProof/>
            <w:webHidden/>
          </w:rPr>
          <w:fldChar w:fldCharType="end"/>
        </w:r>
      </w:hyperlink>
    </w:p>
    <w:p w:rsidR="00491FCD" w:rsidRDefault="00FF3BD5" w:rsidP="00491FCD">
      <w:pPr>
        <w:rPr>
          <w:szCs w:val="24"/>
        </w:rPr>
      </w:pPr>
      <w:r>
        <w:rPr>
          <w:szCs w:val="24"/>
        </w:rPr>
        <w:fldChar w:fldCharType="end"/>
      </w:r>
    </w:p>
    <w:p w:rsidR="00FF3BD5" w:rsidRPr="003755D2" w:rsidRDefault="00FF3BD5" w:rsidP="00491FCD">
      <w:pPr>
        <w:rPr>
          <w:szCs w:val="24"/>
        </w:rPr>
      </w:pPr>
    </w:p>
    <w:p w:rsidR="00491FCD" w:rsidRPr="003755D2" w:rsidRDefault="003755D2" w:rsidP="003755D2">
      <w:pPr>
        <w:rPr>
          <w:szCs w:val="24"/>
        </w:rPr>
      </w:pPr>
      <w:r w:rsidRPr="003755D2">
        <w:rPr>
          <w:b/>
          <w:bCs/>
          <w:szCs w:val="24"/>
          <w:shd w:val="clear" w:color="auto" w:fill="FFFFFF"/>
        </w:rPr>
        <w:t>Nucleus basalis of</w:t>
      </w:r>
      <w:r w:rsidRPr="003755D2">
        <w:rPr>
          <w:rStyle w:val="apple-converted-space"/>
          <w:b/>
          <w:bCs/>
          <w:color w:val="252525"/>
          <w:szCs w:val="24"/>
          <w:shd w:val="clear" w:color="auto" w:fill="FFFFFF"/>
        </w:rPr>
        <w:t> </w:t>
      </w:r>
      <w:r w:rsidRPr="003755D2">
        <w:rPr>
          <w:b/>
          <w:bCs/>
          <w:szCs w:val="24"/>
          <w:shd w:val="clear" w:color="auto" w:fill="FFFFFF"/>
        </w:rPr>
        <w:t>Meynert</w:t>
      </w:r>
      <w:r w:rsidRPr="003755D2">
        <w:rPr>
          <w:szCs w:val="24"/>
          <w:shd w:val="clear" w:color="auto" w:fill="FFFFFF"/>
        </w:rPr>
        <w:t xml:space="preserve"> - group of</w:t>
      </w:r>
      <w:r w:rsidRPr="003755D2">
        <w:rPr>
          <w:rStyle w:val="apple-converted-space"/>
          <w:color w:val="252525"/>
          <w:szCs w:val="24"/>
          <w:shd w:val="clear" w:color="auto" w:fill="FFFFFF"/>
        </w:rPr>
        <w:t> </w:t>
      </w:r>
      <w:r w:rsidRPr="003755D2">
        <w:rPr>
          <w:szCs w:val="24"/>
          <w:shd w:val="clear" w:color="auto" w:fill="FFFFFF"/>
        </w:rPr>
        <w:t>neurons</w:t>
      </w:r>
      <w:r w:rsidRPr="003755D2">
        <w:rPr>
          <w:rStyle w:val="apple-converted-space"/>
          <w:color w:val="252525"/>
          <w:szCs w:val="24"/>
          <w:shd w:val="clear" w:color="auto" w:fill="FFFFFF"/>
        </w:rPr>
        <w:t> </w:t>
      </w:r>
      <w:r w:rsidRPr="003B24F4">
        <w:rPr>
          <w:szCs w:val="24"/>
          <w:highlight w:val="yellow"/>
          <w:shd w:val="clear" w:color="auto" w:fill="FFFFFF"/>
        </w:rPr>
        <w:t>in substantia innominata</w:t>
      </w:r>
      <w:r w:rsidRPr="003B24F4">
        <w:rPr>
          <w:rStyle w:val="apple-converted-space"/>
          <w:color w:val="252525"/>
          <w:szCs w:val="24"/>
          <w:highlight w:val="yellow"/>
          <w:shd w:val="clear" w:color="auto" w:fill="FFFFFF"/>
        </w:rPr>
        <w:t> </w:t>
      </w:r>
      <w:r w:rsidRPr="003B24F4">
        <w:rPr>
          <w:szCs w:val="24"/>
          <w:highlight w:val="yellow"/>
          <w:shd w:val="clear" w:color="auto" w:fill="FFFFFF"/>
        </w:rPr>
        <w:t>of basal forebrain</w:t>
      </w:r>
      <w:r w:rsidRPr="003755D2">
        <w:rPr>
          <w:rStyle w:val="apple-converted-space"/>
          <w:color w:val="252525"/>
          <w:szCs w:val="24"/>
          <w:shd w:val="clear" w:color="auto" w:fill="FFFFFF"/>
        </w:rPr>
        <w:t> </w:t>
      </w:r>
      <w:r w:rsidRPr="003755D2">
        <w:rPr>
          <w:szCs w:val="24"/>
          <w:shd w:val="clear" w:color="auto" w:fill="FFFFFF"/>
        </w:rPr>
        <w:t>which has wide projections to neocortex</w:t>
      </w:r>
      <w:r w:rsidRPr="003755D2">
        <w:rPr>
          <w:rStyle w:val="apple-converted-space"/>
          <w:color w:val="252525"/>
          <w:szCs w:val="24"/>
          <w:shd w:val="clear" w:color="auto" w:fill="FFFFFF"/>
        </w:rPr>
        <w:t> </w:t>
      </w:r>
      <w:r w:rsidRPr="003755D2">
        <w:rPr>
          <w:szCs w:val="24"/>
          <w:shd w:val="clear" w:color="auto" w:fill="FFFFFF"/>
        </w:rPr>
        <w:t>and is rich in</w:t>
      </w:r>
      <w:r w:rsidRPr="003755D2">
        <w:rPr>
          <w:rStyle w:val="apple-converted-space"/>
          <w:color w:val="252525"/>
          <w:szCs w:val="24"/>
          <w:shd w:val="clear" w:color="auto" w:fill="FFFFFF"/>
        </w:rPr>
        <w:t> </w:t>
      </w:r>
      <w:r w:rsidRPr="003755D2">
        <w:rPr>
          <w:szCs w:val="24"/>
          <w:shd w:val="clear" w:color="auto" w:fill="FFFFFF"/>
        </w:rPr>
        <w:t>acetylcholine</w:t>
      </w:r>
      <w:r w:rsidRPr="003755D2">
        <w:rPr>
          <w:rStyle w:val="apple-converted-space"/>
          <w:color w:val="252525"/>
          <w:szCs w:val="24"/>
          <w:shd w:val="clear" w:color="auto" w:fill="FFFFFF"/>
        </w:rPr>
        <w:t> </w:t>
      </w:r>
      <w:r w:rsidRPr="003755D2">
        <w:rPr>
          <w:szCs w:val="24"/>
          <w:shd w:val="clear" w:color="auto" w:fill="FFFFFF"/>
        </w:rPr>
        <w:t>and</w:t>
      </w:r>
      <w:r w:rsidRPr="003755D2">
        <w:rPr>
          <w:rStyle w:val="apple-converted-space"/>
          <w:color w:val="252525"/>
          <w:szCs w:val="24"/>
          <w:shd w:val="clear" w:color="auto" w:fill="FFFFFF"/>
        </w:rPr>
        <w:t> </w:t>
      </w:r>
      <w:r w:rsidRPr="003755D2">
        <w:rPr>
          <w:szCs w:val="24"/>
          <w:shd w:val="clear" w:color="auto" w:fill="FFFFFF"/>
        </w:rPr>
        <w:t>choline acetyltransferase.</w:t>
      </w:r>
    </w:p>
    <w:p w:rsidR="00FF3BD5" w:rsidRDefault="00FF3BD5" w:rsidP="003755D2">
      <w:pPr>
        <w:rPr>
          <w:szCs w:val="24"/>
        </w:rPr>
      </w:pPr>
    </w:p>
    <w:p w:rsidR="00FF3BD5" w:rsidRDefault="00FF3BD5" w:rsidP="003755D2">
      <w:pPr>
        <w:rPr>
          <w:szCs w:val="24"/>
        </w:rPr>
      </w:pPr>
    </w:p>
    <w:p w:rsidR="00FF3BD5" w:rsidRDefault="00FF3BD5" w:rsidP="00FF3BD5">
      <w:pPr>
        <w:pStyle w:val="Nervous6"/>
      </w:pPr>
      <w:bookmarkStart w:id="1" w:name="_Toc6655865"/>
      <w:r>
        <w:t>Articles to check</w:t>
      </w:r>
      <w:bookmarkEnd w:id="1"/>
    </w:p>
    <w:p w:rsidR="00FF3BD5" w:rsidRDefault="00FF3BD5" w:rsidP="00037008">
      <w:pPr>
        <w:autoSpaceDE w:val="0"/>
        <w:autoSpaceDN w:val="0"/>
        <w:adjustRightInd w:val="0"/>
      </w:pPr>
      <w:r>
        <w:rPr>
          <w:rFonts w:ascii="Dutch801BT-Roman" w:hAnsi="Dutch801BT-Roman" w:cs="Dutch801BT-Roman"/>
          <w:sz w:val="15"/>
          <w:szCs w:val="15"/>
        </w:rPr>
        <w:t xml:space="preserve">Sasaki M, Ehara S, Tamakawa Y, et al </w:t>
      </w:r>
      <w:r>
        <w:rPr>
          <w:rFonts w:ascii="Dutch801BT-Bold" w:hAnsi="Dutch801BT-Bold" w:cs="Dutch801BT-Bold"/>
          <w:b/>
          <w:bCs/>
          <w:sz w:val="15"/>
          <w:szCs w:val="15"/>
        </w:rPr>
        <w:t>MR anatomy of the substantia</w:t>
      </w:r>
      <w:r w:rsidR="00037008">
        <w:rPr>
          <w:rFonts w:ascii="Dutch801BT-Bold" w:hAnsi="Dutch801BT-Bold" w:cs="Dutch801BT-Bold"/>
          <w:b/>
          <w:bCs/>
          <w:sz w:val="15"/>
          <w:szCs w:val="15"/>
        </w:rPr>
        <w:t xml:space="preserve"> </w:t>
      </w:r>
      <w:r>
        <w:rPr>
          <w:rFonts w:ascii="Dutch801BT-Bold" w:hAnsi="Dutch801BT-Bold" w:cs="Dutch801BT-Bold"/>
          <w:b/>
          <w:bCs/>
          <w:sz w:val="15"/>
          <w:szCs w:val="15"/>
        </w:rPr>
        <w:t>innominata and findings in Alzheimer disease: a preliminary</w:t>
      </w:r>
      <w:r w:rsidR="00037008">
        <w:rPr>
          <w:rFonts w:ascii="Dutch801BT-Bold" w:hAnsi="Dutch801BT-Bold" w:cs="Dutch801BT-Bold"/>
          <w:b/>
          <w:bCs/>
          <w:sz w:val="15"/>
          <w:szCs w:val="15"/>
        </w:rPr>
        <w:t xml:space="preserve"> </w:t>
      </w:r>
      <w:r>
        <w:rPr>
          <w:rFonts w:ascii="Dutch801BT-Bold" w:hAnsi="Dutch801BT-Bold" w:cs="Dutch801BT-Bold"/>
          <w:b/>
          <w:bCs/>
          <w:sz w:val="15"/>
          <w:szCs w:val="15"/>
        </w:rPr>
        <w:t xml:space="preserve">study. </w:t>
      </w:r>
      <w:r>
        <w:rPr>
          <w:rFonts w:ascii="Dutch801BT-Italic" w:hAnsi="Dutch801BT-Italic" w:cs="Dutch801BT-Italic"/>
          <w:i/>
          <w:iCs/>
          <w:sz w:val="15"/>
          <w:szCs w:val="15"/>
        </w:rPr>
        <w:t xml:space="preserve">AJNR Am J Neuroradiol </w:t>
      </w:r>
      <w:r>
        <w:rPr>
          <w:rFonts w:ascii="Dutch801BT-Roman" w:hAnsi="Dutch801BT-Roman" w:cs="Dutch801BT-Roman"/>
          <w:sz w:val="15"/>
          <w:szCs w:val="15"/>
        </w:rPr>
        <w:t>1995;16:2001–2007</w:t>
      </w:r>
    </w:p>
    <w:p w:rsidR="00FF3BD5" w:rsidRDefault="00FF3BD5" w:rsidP="00FF3BD5"/>
    <w:p w:rsidR="00FF3BD5" w:rsidRDefault="00755479" w:rsidP="00037008">
      <w:pPr>
        <w:autoSpaceDE w:val="0"/>
        <w:autoSpaceDN w:val="0"/>
        <w:adjustRightInd w:val="0"/>
        <w:rPr>
          <w:szCs w:val="24"/>
        </w:rPr>
      </w:pPr>
      <w:r>
        <w:rPr>
          <w:rFonts w:ascii="Times-Roman" w:hAnsi="Times-Roman" w:cs="Times-Roman"/>
          <w:sz w:val="16"/>
          <w:szCs w:val="16"/>
        </w:rPr>
        <w:t>Oikawa, H., Sasaki, M., Ehara, S., Abe, T., 2004. Substantia innominata:</w:t>
      </w:r>
      <w:r w:rsidR="00037008">
        <w:rPr>
          <w:rFonts w:ascii="Times-Roman" w:hAnsi="Times-Roman" w:cs="Times-Roman"/>
          <w:sz w:val="16"/>
          <w:szCs w:val="16"/>
        </w:rPr>
        <w:t xml:space="preserve"> </w:t>
      </w:r>
      <w:r>
        <w:rPr>
          <w:rFonts w:ascii="Times-Roman" w:hAnsi="Times-Roman" w:cs="Times-Roman"/>
          <w:sz w:val="16"/>
          <w:szCs w:val="16"/>
        </w:rPr>
        <w:t>MR findings in Parkinson’s disease. Neuroradiology 46, 817–821.</w:t>
      </w:r>
    </w:p>
    <w:p w:rsidR="00FF3BD5" w:rsidRDefault="00FF3BD5" w:rsidP="003755D2">
      <w:pPr>
        <w:rPr>
          <w:szCs w:val="24"/>
        </w:rPr>
      </w:pPr>
    </w:p>
    <w:p w:rsidR="0033222A" w:rsidRDefault="0033222A" w:rsidP="0033222A">
      <w:pPr>
        <w:rPr>
          <w:rFonts w:ascii="AdvP7C2E" w:hAnsi="AdvP7C2E" w:cs="AdvP7C2E"/>
          <w:color w:val="241F20"/>
          <w:sz w:val="17"/>
          <w:szCs w:val="17"/>
        </w:rPr>
      </w:pPr>
      <w:r>
        <w:rPr>
          <w:rFonts w:ascii="AdvP7C2E" w:hAnsi="AdvP7C2E" w:cs="AdvP7C2E"/>
          <w:color w:val="241F20"/>
          <w:sz w:val="17"/>
          <w:szCs w:val="17"/>
        </w:rPr>
        <w:t>Teipel et al., 2005 -  localization of the cholinergic nuclei in MRI standard space based on postmorte</w:t>
      </w:r>
      <w:r w:rsidR="00334A88">
        <w:rPr>
          <w:rFonts w:ascii="AdvP7C2E" w:hAnsi="AdvP7C2E" w:cs="AdvP7C2E"/>
          <w:color w:val="241F20"/>
          <w:sz w:val="17"/>
          <w:szCs w:val="17"/>
        </w:rPr>
        <w:t>m data :</w:t>
      </w:r>
    </w:p>
    <w:p w:rsidR="00062D30" w:rsidRDefault="00062D30" w:rsidP="0033222A">
      <w:pPr>
        <w:rPr>
          <w:szCs w:val="24"/>
        </w:rPr>
      </w:pPr>
    </w:p>
    <w:p w:rsidR="00334A88" w:rsidRDefault="00334A88" w:rsidP="00334A88">
      <w:pPr>
        <w:autoSpaceDE w:val="0"/>
        <w:autoSpaceDN w:val="0"/>
        <w:adjustRightInd w:val="0"/>
        <w:rPr>
          <w:rFonts w:ascii="AdvP7C2E" w:hAnsi="AdvP7C2E" w:cs="AdvP7C2E"/>
          <w:color w:val="241F20"/>
          <w:sz w:val="15"/>
          <w:szCs w:val="15"/>
        </w:rPr>
      </w:pPr>
      <w:r>
        <w:rPr>
          <w:rFonts w:ascii="AdvP7C2E" w:hAnsi="AdvP7C2E" w:cs="AdvP7C2E"/>
          <w:color w:val="241F20"/>
          <w:sz w:val="15"/>
          <w:szCs w:val="15"/>
        </w:rPr>
        <w:t>Teipel SJ, Flatz WH, Heinsen H, Bokde AL, Schoenberg SO,</w:t>
      </w:r>
      <w:r w:rsidR="00062D30">
        <w:rPr>
          <w:rFonts w:ascii="AdvP7C2E" w:hAnsi="AdvP7C2E" w:cs="AdvP7C2E"/>
          <w:color w:val="241F20"/>
          <w:sz w:val="15"/>
          <w:szCs w:val="15"/>
        </w:rPr>
        <w:t xml:space="preserve"> </w:t>
      </w:r>
      <w:r>
        <w:rPr>
          <w:rFonts w:ascii="AdvP7C2E" w:hAnsi="AdvP7C2E" w:cs="AdvP7C2E"/>
          <w:color w:val="241F20"/>
          <w:sz w:val="15"/>
          <w:szCs w:val="15"/>
        </w:rPr>
        <w:t>Stockel S, Dietrich O, Reiser MF, Moller HJ, Hampel H (2005):</w:t>
      </w:r>
    </w:p>
    <w:p w:rsidR="00334A88" w:rsidRDefault="00334A88" w:rsidP="00334A88">
      <w:pPr>
        <w:autoSpaceDE w:val="0"/>
        <w:autoSpaceDN w:val="0"/>
        <w:adjustRightInd w:val="0"/>
        <w:rPr>
          <w:rFonts w:ascii="AdvP7C2E" w:hAnsi="AdvP7C2E" w:cs="AdvP7C2E"/>
          <w:color w:val="241F20"/>
          <w:sz w:val="15"/>
          <w:szCs w:val="15"/>
        </w:rPr>
      </w:pPr>
      <w:r>
        <w:rPr>
          <w:rFonts w:ascii="AdvP7C2E" w:hAnsi="AdvP7C2E" w:cs="AdvP7C2E"/>
          <w:color w:val="241F20"/>
          <w:sz w:val="15"/>
          <w:szCs w:val="15"/>
        </w:rPr>
        <w:t>Measurement of basal forebrain atrophy in Alzheimer’s disease</w:t>
      </w:r>
    </w:p>
    <w:p w:rsidR="006C18BB" w:rsidRDefault="00334A88" w:rsidP="00334A88">
      <w:pPr>
        <w:rPr>
          <w:szCs w:val="24"/>
        </w:rPr>
      </w:pPr>
      <w:r>
        <w:rPr>
          <w:rFonts w:ascii="AdvP7C2E" w:hAnsi="AdvP7C2E" w:cs="AdvP7C2E"/>
          <w:color w:val="241F20"/>
          <w:sz w:val="15"/>
          <w:szCs w:val="15"/>
        </w:rPr>
        <w:t>using MRI. Brain 128(Part 11):2626–2644.</w:t>
      </w:r>
    </w:p>
    <w:p w:rsidR="00334A88" w:rsidRDefault="00334A88" w:rsidP="003755D2">
      <w:pPr>
        <w:rPr>
          <w:szCs w:val="24"/>
        </w:rPr>
      </w:pPr>
    </w:p>
    <w:p w:rsidR="00334A88" w:rsidRDefault="00334A88" w:rsidP="003755D2">
      <w:pPr>
        <w:rPr>
          <w:szCs w:val="24"/>
        </w:rPr>
      </w:pPr>
    </w:p>
    <w:p w:rsidR="00334A88" w:rsidRDefault="00334A88" w:rsidP="00062D30">
      <w:pPr>
        <w:autoSpaceDE w:val="0"/>
        <w:autoSpaceDN w:val="0"/>
        <w:adjustRightInd w:val="0"/>
        <w:rPr>
          <w:szCs w:val="24"/>
        </w:rPr>
      </w:pPr>
      <w:r>
        <w:rPr>
          <w:rFonts w:ascii="AdvP7C2E" w:hAnsi="AdvP7C2E" w:cs="AdvP7C2E"/>
          <w:color w:val="241F20"/>
          <w:sz w:val="15"/>
          <w:szCs w:val="15"/>
        </w:rPr>
        <w:t>Teipel SJ, Stahl R, Dietrich O, Schoenberg SO, Perneczky R, Bokde</w:t>
      </w:r>
      <w:r w:rsidR="00062D30">
        <w:rPr>
          <w:rFonts w:ascii="AdvP7C2E" w:hAnsi="AdvP7C2E" w:cs="AdvP7C2E"/>
          <w:color w:val="241F20"/>
          <w:sz w:val="15"/>
          <w:szCs w:val="15"/>
        </w:rPr>
        <w:t xml:space="preserve"> </w:t>
      </w:r>
      <w:r>
        <w:rPr>
          <w:rFonts w:ascii="AdvP7C2E" w:hAnsi="AdvP7C2E" w:cs="AdvP7C2E"/>
          <w:color w:val="241F20"/>
          <w:sz w:val="15"/>
          <w:szCs w:val="15"/>
        </w:rPr>
        <w:t>AL, Reiser MF, Moller HJ, Hampel H (2007b): Multivariate network</w:t>
      </w:r>
      <w:r w:rsidR="00062D30">
        <w:rPr>
          <w:rFonts w:ascii="AdvP7C2E" w:hAnsi="AdvP7C2E" w:cs="AdvP7C2E"/>
          <w:color w:val="241F20"/>
          <w:sz w:val="15"/>
          <w:szCs w:val="15"/>
        </w:rPr>
        <w:t xml:space="preserve"> </w:t>
      </w:r>
      <w:r>
        <w:rPr>
          <w:rFonts w:ascii="AdvP7C2E" w:hAnsi="AdvP7C2E" w:cs="AdvP7C2E"/>
          <w:color w:val="241F20"/>
          <w:sz w:val="15"/>
          <w:szCs w:val="15"/>
        </w:rPr>
        <w:t>analysis of fiber tract integrity in Alzheimer’s disease.</w:t>
      </w:r>
      <w:r w:rsidR="00062D30">
        <w:rPr>
          <w:rFonts w:ascii="AdvP7C2E" w:hAnsi="AdvP7C2E" w:cs="AdvP7C2E"/>
          <w:color w:val="241F20"/>
          <w:sz w:val="15"/>
          <w:szCs w:val="15"/>
        </w:rPr>
        <w:t xml:space="preserve"> </w:t>
      </w:r>
      <w:r>
        <w:rPr>
          <w:rFonts w:ascii="AdvP7C2E" w:hAnsi="AdvP7C2E" w:cs="AdvP7C2E"/>
          <w:color w:val="241F20"/>
          <w:sz w:val="15"/>
          <w:szCs w:val="15"/>
        </w:rPr>
        <w:t>Neuroimage 34:985–995.</w:t>
      </w:r>
    </w:p>
    <w:p w:rsidR="00334A88" w:rsidRDefault="00334A88" w:rsidP="003755D2">
      <w:pPr>
        <w:rPr>
          <w:szCs w:val="24"/>
        </w:rPr>
      </w:pPr>
    </w:p>
    <w:p w:rsidR="00334A88" w:rsidRDefault="00334A88" w:rsidP="003755D2">
      <w:pPr>
        <w:rPr>
          <w:szCs w:val="24"/>
        </w:rPr>
      </w:pPr>
    </w:p>
    <w:p w:rsidR="00334A88" w:rsidRPr="00334A88" w:rsidRDefault="000A6CE7" w:rsidP="00FE0A81">
      <w:pPr>
        <w:autoSpaceDE w:val="0"/>
        <w:autoSpaceDN w:val="0"/>
        <w:adjustRightInd w:val="0"/>
        <w:rPr>
          <w:rFonts w:ascii="AdvP7C2E" w:hAnsi="AdvP7C2E" w:cs="AdvP7C2E"/>
          <w:color w:val="241F20"/>
          <w:sz w:val="17"/>
          <w:szCs w:val="17"/>
          <w:u w:val="single"/>
        </w:rPr>
      </w:pPr>
      <w:r w:rsidRPr="00334A88">
        <w:rPr>
          <w:rFonts w:ascii="AdvP7C2E" w:hAnsi="AdvP7C2E" w:cs="AdvP7C2E"/>
          <w:color w:val="241F20"/>
          <w:sz w:val="17"/>
          <w:szCs w:val="17"/>
          <w:u w:val="single"/>
        </w:rPr>
        <w:t>morphometric</w:t>
      </w:r>
      <w:r w:rsidR="00FE0A81" w:rsidRPr="00334A88">
        <w:rPr>
          <w:rFonts w:ascii="AdvP7C2E" w:hAnsi="AdvP7C2E" w:cs="AdvP7C2E"/>
          <w:color w:val="241F20"/>
          <w:sz w:val="17"/>
          <w:szCs w:val="17"/>
          <w:u w:val="single"/>
        </w:rPr>
        <w:t xml:space="preserve"> </w:t>
      </w:r>
      <w:r w:rsidRPr="00334A88">
        <w:rPr>
          <w:rFonts w:ascii="AdvP7C2E" w:hAnsi="AdvP7C2E" w:cs="AdvP7C2E"/>
          <w:color w:val="241F20"/>
          <w:sz w:val="17"/>
          <w:szCs w:val="17"/>
          <w:u w:val="single"/>
        </w:rPr>
        <w:t>studies based on postmortem data</w:t>
      </w:r>
      <w:r w:rsidR="00334A88" w:rsidRPr="00334A88">
        <w:rPr>
          <w:rFonts w:ascii="AdvP7C2E" w:hAnsi="AdvP7C2E" w:cs="AdvP7C2E"/>
          <w:color w:val="241F20"/>
          <w:sz w:val="17"/>
          <w:szCs w:val="17"/>
          <w:u w:val="single"/>
        </w:rPr>
        <w:t>:</w:t>
      </w:r>
    </w:p>
    <w:p w:rsidR="00334A88" w:rsidRDefault="00334A88" w:rsidP="00334A88">
      <w:pPr>
        <w:autoSpaceDE w:val="0"/>
        <w:autoSpaceDN w:val="0"/>
        <w:adjustRightInd w:val="0"/>
        <w:rPr>
          <w:rFonts w:ascii="AdvP7C2E" w:hAnsi="AdvP7C2E" w:cs="AdvP7C2E"/>
          <w:color w:val="241F20"/>
          <w:sz w:val="15"/>
          <w:szCs w:val="15"/>
        </w:rPr>
      </w:pPr>
      <w:r>
        <w:rPr>
          <w:rFonts w:ascii="AdvP7C2E" w:hAnsi="AdvP7C2E" w:cs="AdvP7C2E"/>
          <w:color w:val="241F20"/>
          <w:sz w:val="15"/>
          <w:szCs w:val="15"/>
        </w:rPr>
        <w:t>Grinberg LT, Heinsen H (2007): Computer-assisted 3D reconstruction</w:t>
      </w:r>
      <w:r w:rsidR="00037008">
        <w:rPr>
          <w:rFonts w:ascii="AdvP7C2E" w:hAnsi="AdvP7C2E" w:cs="AdvP7C2E"/>
          <w:color w:val="241F20"/>
          <w:sz w:val="15"/>
          <w:szCs w:val="15"/>
        </w:rPr>
        <w:t xml:space="preserve"> </w:t>
      </w:r>
      <w:r>
        <w:rPr>
          <w:rFonts w:ascii="AdvP7C2E" w:hAnsi="AdvP7C2E" w:cs="AdvP7C2E"/>
          <w:color w:val="241F20"/>
          <w:sz w:val="15"/>
          <w:szCs w:val="15"/>
        </w:rPr>
        <w:t>of the human basal forebrain complex. Dementia Neuropsychol</w:t>
      </w:r>
    </w:p>
    <w:p w:rsidR="000A6CE7" w:rsidRDefault="00334A88" w:rsidP="00334A88">
      <w:pPr>
        <w:rPr>
          <w:szCs w:val="24"/>
        </w:rPr>
      </w:pPr>
      <w:r>
        <w:rPr>
          <w:rFonts w:ascii="AdvP7C2E" w:hAnsi="AdvP7C2E" w:cs="AdvP7C2E"/>
          <w:color w:val="241F20"/>
          <w:sz w:val="15"/>
          <w:szCs w:val="15"/>
        </w:rPr>
        <w:t>2:140–146.</w:t>
      </w:r>
    </w:p>
    <w:p w:rsidR="000A6CE7" w:rsidRDefault="000A6CE7" w:rsidP="003755D2">
      <w:pPr>
        <w:rPr>
          <w:szCs w:val="24"/>
        </w:rPr>
      </w:pPr>
    </w:p>
    <w:p w:rsidR="00334A88" w:rsidRDefault="00334A88" w:rsidP="00037008">
      <w:pPr>
        <w:autoSpaceDE w:val="0"/>
        <w:autoSpaceDN w:val="0"/>
        <w:adjustRightInd w:val="0"/>
        <w:rPr>
          <w:szCs w:val="24"/>
        </w:rPr>
      </w:pPr>
      <w:r>
        <w:rPr>
          <w:rFonts w:ascii="AdvP7C2E" w:hAnsi="AdvP7C2E" w:cs="AdvP7C2E"/>
          <w:color w:val="241F20"/>
          <w:sz w:val="15"/>
          <w:szCs w:val="15"/>
        </w:rPr>
        <w:t>Halliday GM, Cullen K, Cairns MJ (1993): Quantitation and threedimensional</w:t>
      </w:r>
      <w:r w:rsidR="00037008">
        <w:rPr>
          <w:rFonts w:ascii="AdvP7C2E" w:hAnsi="AdvP7C2E" w:cs="AdvP7C2E"/>
          <w:color w:val="241F20"/>
          <w:sz w:val="15"/>
          <w:szCs w:val="15"/>
        </w:rPr>
        <w:t xml:space="preserve"> </w:t>
      </w:r>
      <w:r>
        <w:rPr>
          <w:rFonts w:ascii="AdvP7C2E" w:hAnsi="AdvP7C2E" w:cs="AdvP7C2E"/>
          <w:color w:val="241F20"/>
          <w:sz w:val="15"/>
          <w:szCs w:val="15"/>
        </w:rPr>
        <w:t>reconstruction of Ch4 nucleus in the human basal</w:t>
      </w:r>
      <w:r w:rsidR="00037008">
        <w:rPr>
          <w:rFonts w:ascii="AdvP7C2E" w:hAnsi="AdvP7C2E" w:cs="AdvP7C2E"/>
          <w:color w:val="241F20"/>
          <w:sz w:val="15"/>
          <w:szCs w:val="15"/>
        </w:rPr>
        <w:t xml:space="preserve"> </w:t>
      </w:r>
      <w:r>
        <w:rPr>
          <w:rFonts w:ascii="AdvP7C2E" w:hAnsi="AdvP7C2E" w:cs="AdvP7C2E"/>
          <w:color w:val="241F20"/>
          <w:sz w:val="15"/>
          <w:szCs w:val="15"/>
        </w:rPr>
        <w:t>forebrain. Synapse 15:1–16.</w:t>
      </w:r>
    </w:p>
    <w:p w:rsidR="00334A88" w:rsidRDefault="00334A88" w:rsidP="003755D2">
      <w:pPr>
        <w:rPr>
          <w:szCs w:val="24"/>
        </w:rPr>
      </w:pPr>
    </w:p>
    <w:p w:rsidR="0041621A" w:rsidRDefault="0041621A" w:rsidP="003755D2">
      <w:pPr>
        <w:rPr>
          <w:szCs w:val="24"/>
        </w:rPr>
      </w:pPr>
    </w:p>
    <w:p w:rsidR="0041621A" w:rsidRDefault="0041621A" w:rsidP="0041621A">
      <w:pPr>
        <w:pStyle w:val="Nervous1"/>
      </w:pPr>
      <w:bookmarkStart w:id="2" w:name="_Toc6655866"/>
      <w:r>
        <w:t>Anatomy</w:t>
      </w:r>
      <w:bookmarkEnd w:id="2"/>
    </w:p>
    <w:p w:rsidR="0041621A" w:rsidRDefault="0041621A" w:rsidP="003755D2">
      <w:pPr>
        <w:rPr>
          <w:szCs w:val="24"/>
        </w:rPr>
      </w:pPr>
      <w:r>
        <w:rPr>
          <w:noProof/>
        </w:rPr>
        <w:drawing>
          <wp:inline distT="0" distB="0" distL="0" distR="0" wp14:anchorId="6DB01EC8" wp14:editId="2340E603">
            <wp:extent cx="6300470" cy="4924425"/>
            <wp:effectExtent l="0" t="0" r="508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00470" cy="4924425"/>
                    </a:xfrm>
                    <a:prstGeom prst="rect">
                      <a:avLst/>
                    </a:prstGeom>
                  </pic:spPr>
                </pic:pic>
              </a:graphicData>
            </a:graphic>
          </wp:inline>
        </w:drawing>
      </w:r>
    </w:p>
    <w:p w:rsidR="0041621A" w:rsidRDefault="0041621A" w:rsidP="003755D2">
      <w:pPr>
        <w:rPr>
          <w:szCs w:val="24"/>
        </w:rPr>
      </w:pPr>
    </w:p>
    <w:p w:rsidR="0041621A" w:rsidRDefault="0041621A" w:rsidP="003755D2">
      <w:pPr>
        <w:rPr>
          <w:szCs w:val="24"/>
        </w:rPr>
      </w:pPr>
    </w:p>
    <w:p w:rsidR="00824A5C" w:rsidRDefault="00824A5C" w:rsidP="003755D2">
      <w:pPr>
        <w:rPr>
          <w:szCs w:val="24"/>
        </w:rPr>
      </w:pPr>
      <w:r>
        <w:rPr>
          <w:szCs w:val="24"/>
        </w:rPr>
        <w:t>B</w:t>
      </w:r>
      <w:r w:rsidRPr="00824A5C">
        <w:rPr>
          <w:szCs w:val="24"/>
        </w:rPr>
        <w:t xml:space="preserve">asal forebrain </w:t>
      </w:r>
      <w:r>
        <w:rPr>
          <w:szCs w:val="24"/>
        </w:rPr>
        <w:t>(</w:t>
      </w:r>
      <w:r w:rsidRPr="00824A5C">
        <w:rPr>
          <w:szCs w:val="24"/>
        </w:rPr>
        <w:t>AC anterior commissure, Am amygdala, Cd caudate, GP globus pallidus, IC internal capsule, LV lateral ventricle, Pt putamen, SI substantia innominata</w:t>
      </w:r>
      <w:r>
        <w:rPr>
          <w:szCs w:val="24"/>
        </w:rPr>
        <w:t>):</w:t>
      </w:r>
    </w:p>
    <w:p w:rsidR="00824A5C" w:rsidRDefault="00824A5C" w:rsidP="003755D2">
      <w:pPr>
        <w:rPr>
          <w:szCs w:val="24"/>
        </w:rPr>
      </w:pPr>
      <w:r w:rsidRPr="00824A5C">
        <w:rPr>
          <w:noProof/>
          <w:szCs w:val="24"/>
        </w:rPr>
        <w:lastRenderedPageBreak/>
        <w:drawing>
          <wp:inline distT="0" distB="0" distL="0" distR="0">
            <wp:extent cx="4828032" cy="484632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28032" cy="4846320"/>
                    </a:xfrm>
                    <a:prstGeom prst="rect">
                      <a:avLst/>
                    </a:prstGeom>
                    <a:noFill/>
                    <a:ln>
                      <a:noFill/>
                    </a:ln>
                  </pic:spPr>
                </pic:pic>
              </a:graphicData>
            </a:graphic>
          </wp:inline>
        </w:drawing>
      </w:r>
    </w:p>
    <w:p w:rsidR="00824A5C" w:rsidRDefault="00824A5C" w:rsidP="00824A5C">
      <w:pPr>
        <w:jc w:val="right"/>
        <w:rPr>
          <w:szCs w:val="24"/>
        </w:rPr>
      </w:pPr>
      <w:r>
        <w:rPr>
          <w:szCs w:val="24"/>
        </w:rPr>
        <w:t>Liu et al. 2015</w:t>
      </w:r>
    </w:p>
    <w:p w:rsidR="00824A5C" w:rsidRDefault="00824A5C" w:rsidP="003755D2">
      <w:pPr>
        <w:rPr>
          <w:szCs w:val="24"/>
        </w:rPr>
      </w:pPr>
    </w:p>
    <w:p w:rsidR="00824A5C" w:rsidRDefault="00824A5C" w:rsidP="003755D2">
      <w:pPr>
        <w:rPr>
          <w:szCs w:val="24"/>
        </w:rPr>
      </w:pPr>
    </w:p>
    <w:p w:rsidR="004E05C0" w:rsidRDefault="004E05C0" w:rsidP="003755D2">
      <w:pPr>
        <w:rPr>
          <w:szCs w:val="24"/>
        </w:rPr>
      </w:pPr>
      <w:r>
        <w:rPr>
          <w:szCs w:val="24"/>
        </w:rPr>
        <w:t xml:space="preserve">Study of 10 brains. </w:t>
      </w:r>
      <w:r w:rsidRPr="004E05C0">
        <w:rPr>
          <w:szCs w:val="24"/>
        </w:rPr>
        <w:t>Probabilistic map of the Ch4 cell grou</w:t>
      </w:r>
      <w:r>
        <w:rPr>
          <w:szCs w:val="24"/>
        </w:rPr>
        <w:t>ps at six rostro-caudal levels</w:t>
      </w:r>
      <w:r w:rsidR="00F92C95" w:rsidRPr="00F92C95">
        <w:rPr>
          <w:szCs w:val="24"/>
        </w:rPr>
        <w:t xml:space="preserve"> </w:t>
      </w:r>
      <w:r w:rsidR="00F92C95">
        <w:rPr>
          <w:szCs w:val="24"/>
        </w:rPr>
        <w:t>(</w:t>
      </w:r>
      <w:r w:rsidR="00F92C95" w:rsidRPr="00F92C95">
        <w:rPr>
          <w:szCs w:val="24"/>
        </w:rPr>
        <w:t>y coordinates indicate distances from the anterior commissure in mm</w:t>
      </w:r>
      <w:r w:rsidR="00F92C95">
        <w:rPr>
          <w:szCs w:val="24"/>
        </w:rPr>
        <w:t xml:space="preserve"> in the rostrocaudal directions).</w:t>
      </w:r>
    </w:p>
    <w:p w:rsidR="00F92C95" w:rsidRDefault="00F92C95" w:rsidP="003755D2">
      <w:pPr>
        <w:rPr>
          <w:szCs w:val="24"/>
        </w:rPr>
      </w:pPr>
      <w:r w:rsidRPr="00F92C95">
        <w:rPr>
          <w:szCs w:val="24"/>
        </w:rPr>
        <w:t>The frequency with which the actual anatomical structure is overlapped in the sample of ten brains is color coded. The scale at the bottom of this figure indicates the degree of overlap in each voxel. The blue areas show that only one brain is represented with its actual structure, red color shows that all ten brains are overlapping</w:t>
      </w:r>
      <w:r>
        <w:rPr>
          <w:szCs w:val="24"/>
        </w:rPr>
        <w:t>.</w:t>
      </w:r>
    </w:p>
    <w:p w:rsidR="004E05C0" w:rsidRDefault="004E05C0" w:rsidP="003755D2">
      <w:pPr>
        <w:rPr>
          <w:szCs w:val="24"/>
        </w:rPr>
      </w:pPr>
      <w:r w:rsidRPr="004E05C0">
        <w:rPr>
          <w:szCs w:val="24"/>
        </w:rPr>
        <w:t>Note that most of the voxels representing maximum overlap (ten brains) are located at level y=−6.</w:t>
      </w:r>
    </w:p>
    <w:p w:rsidR="00824A5C" w:rsidRDefault="004E05C0" w:rsidP="003755D2">
      <w:pPr>
        <w:rPr>
          <w:szCs w:val="24"/>
        </w:rPr>
      </w:pPr>
      <w:r w:rsidRPr="004E05C0">
        <w:rPr>
          <w:noProof/>
          <w:szCs w:val="24"/>
        </w:rPr>
        <w:drawing>
          <wp:inline distT="0" distB="0" distL="0" distR="0">
            <wp:extent cx="6162040" cy="954659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62040" cy="9546590"/>
                    </a:xfrm>
                    <a:prstGeom prst="rect">
                      <a:avLst/>
                    </a:prstGeom>
                    <a:noFill/>
                    <a:ln>
                      <a:noFill/>
                    </a:ln>
                  </pic:spPr>
                </pic:pic>
              </a:graphicData>
            </a:graphic>
          </wp:inline>
        </w:drawing>
      </w:r>
    </w:p>
    <w:p w:rsidR="004E05C0" w:rsidRDefault="004E05C0" w:rsidP="004E05C0">
      <w:pPr>
        <w:jc w:val="right"/>
        <w:rPr>
          <w:szCs w:val="24"/>
        </w:rPr>
      </w:pPr>
      <w:r>
        <w:rPr>
          <w:szCs w:val="24"/>
        </w:rPr>
        <w:t>Zaborsky et al. 2008</w:t>
      </w:r>
    </w:p>
    <w:p w:rsidR="004E05C0" w:rsidRDefault="004E05C0" w:rsidP="003755D2">
      <w:pPr>
        <w:rPr>
          <w:szCs w:val="24"/>
        </w:rPr>
      </w:pPr>
    </w:p>
    <w:p w:rsidR="001970B9" w:rsidRDefault="001970B9" w:rsidP="003755D2">
      <w:pPr>
        <w:rPr>
          <w:szCs w:val="24"/>
        </w:rPr>
      </w:pPr>
    </w:p>
    <w:p w:rsidR="001970B9" w:rsidRDefault="001970B9" w:rsidP="003755D2">
      <w:pPr>
        <w:rPr>
          <w:szCs w:val="24"/>
        </w:rPr>
      </w:pPr>
      <w:r w:rsidRPr="001970B9">
        <w:rPr>
          <w:szCs w:val="24"/>
        </w:rPr>
        <w:t>Probabilistic maps of the Ch4p cell groups at four rostro-caudal levels. Note the paucity of red voxels, indicating that most of the voxels o</w:t>
      </w:r>
      <w:r>
        <w:rPr>
          <w:szCs w:val="24"/>
        </w:rPr>
        <w:t>riginate from individual brains:</w:t>
      </w:r>
    </w:p>
    <w:p w:rsidR="001970B9" w:rsidRDefault="001970B9" w:rsidP="003755D2">
      <w:pPr>
        <w:rPr>
          <w:szCs w:val="24"/>
        </w:rPr>
      </w:pPr>
      <w:r w:rsidRPr="001970B9">
        <w:rPr>
          <w:noProof/>
          <w:szCs w:val="24"/>
        </w:rPr>
        <w:drawing>
          <wp:inline distT="0" distB="0" distL="0" distR="0">
            <wp:extent cx="6300470" cy="1566677"/>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00470" cy="1566677"/>
                    </a:xfrm>
                    <a:prstGeom prst="rect">
                      <a:avLst/>
                    </a:prstGeom>
                    <a:noFill/>
                    <a:ln>
                      <a:noFill/>
                    </a:ln>
                  </pic:spPr>
                </pic:pic>
              </a:graphicData>
            </a:graphic>
          </wp:inline>
        </w:drawing>
      </w:r>
    </w:p>
    <w:p w:rsidR="001970B9" w:rsidRDefault="001970B9" w:rsidP="001970B9">
      <w:pPr>
        <w:jc w:val="right"/>
        <w:rPr>
          <w:szCs w:val="24"/>
        </w:rPr>
      </w:pPr>
      <w:r>
        <w:rPr>
          <w:szCs w:val="24"/>
        </w:rPr>
        <w:t>Zaborsky et al. 2008</w:t>
      </w:r>
    </w:p>
    <w:p w:rsidR="001970B9" w:rsidRDefault="001970B9" w:rsidP="003755D2">
      <w:pPr>
        <w:rPr>
          <w:szCs w:val="24"/>
        </w:rPr>
      </w:pPr>
    </w:p>
    <w:p w:rsidR="0003254E" w:rsidRDefault="0003254E" w:rsidP="003755D2">
      <w:pPr>
        <w:rPr>
          <w:szCs w:val="24"/>
        </w:rPr>
      </w:pPr>
      <w:r w:rsidRPr="0003254E">
        <w:rPr>
          <w:szCs w:val="24"/>
        </w:rPr>
        <w:t>Probabilistic maps showing all Ch groups without divisions into different compartments. Note that these maps show many more red voxels than previous maps of individual compartments due to the fact that the individual Ch compartments overlap at their borders.</w:t>
      </w:r>
    </w:p>
    <w:p w:rsidR="0003254E" w:rsidRDefault="0003254E" w:rsidP="003755D2">
      <w:pPr>
        <w:rPr>
          <w:szCs w:val="24"/>
        </w:rPr>
      </w:pPr>
      <w:r w:rsidRPr="0003254E">
        <w:rPr>
          <w:noProof/>
          <w:szCs w:val="24"/>
        </w:rPr>
        <w:drawing>
          <wp:inline distT="0" distB="0" distL="0" distR="0">
            <wp:extent cx="6162040" cy="929386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62040" cy="9293860"/>
                    </a:xfrm>
                    <a:prstGeom prst="rect">
                      <a:avLst/>
                    </a:prstGeom>
                    <a:noFill/>
                    <a:ln>
                      <a:noFill/>
                    </a:ln>
                  </pic:spPr>
                </pic:pic>
              </a:graphicData>
            </a:graphic>
          </wp:inline>
        </w:drawing>
      </w:r>
    </w:p>
    <w:p w:rsidR="0003254E" w:rsidRDefault="0003254E" w:rsidP="0003254E">
      <w:pPr>
        <w:jc w:val="right"/>
        <w:rPr>
          <w:szCs w:val="24"/>
        </w:rPr>
      </w:pPr>
      <w:r>
        <w:rPr>
          <w:szCs w:val="24"/>
        </w:rPr>
        <w:t>Zaborsky et al. 2008</w:t>
      </w:r>
    </w:p>
    <w:p w:rsidR="0003254E" w:rsidRDefault="0003254E" w:rsidP="003755D2">
      <w:pPr>
        <w:rPr>
          <w:szCs w:val="24"/>
        </w:rPr>
      </w:pPr>
    </w:p>
    <w:p w:rsidR="0003254E" w:rsidRDefault="0003254E" w:rsidP="003755D2">
      <w:pPr>
        <w:rPr>
          <w:szCs w:val="24"/>
        </w:rPr>
      </w:pPr>
    </w:p>
    <w:p w:rsidR="003C0E9D" w:rsidRDefault="00247703" w:rsidP="003755D2">
      <w:pPr>
        <w:rPr>
          <w:szCs w:val="24"/>
        </w:rPr>
      </w:pPr>
      <w:r w:rsidRPr="00247703">
        <w:rPr>
          <w:szCs w:val="24"/>
        </w:rPr>
        <w:t>Maximum probability maps (MPMs) of all Ch groups (A, rostral; F, caudal). In the MPM each voxel is assigned to the cytoarchitectonic compartment that showed the greatest overlap</w:t>
      </w:r>
      <w:r w:rsidR="003C0E9D">
        <w:rPr>
          <w:szCs w:val="24"/>
        </w:rPr>
        <w:t xml:space="preserve"> among the ten examined brains (i.e. e</w:t>
      </w:r>
      <w:r w:rsidR="003C0E9D" w:rsidRPr="003C0E9D">
        <w:rPr>
          <w:szCs w:val="24"/>
        </w:rPr>
        <w:t>ach voxel was assigned to the cytoarchitectonic area th</w:t>
      </w:r>
      <w:r w:rsidR="003C0E9D">
        <w:rPr>
          <w:szCs w:val="24"/>
        </w:rPr>
        <w:t xml:space="preserve">at showed the greatest overlap - </w:t>
      </w:r>
      <w:r w:rsidR="003C0E9D" w:rsidRPr="003C0E9D">
        <w:rPr>
          <w:szCs w:val="24"/>
        </w:rPr>
        <w:t>“winner take all”</w:t>
      </w:r>
      <w:r w:rsidR="003C0E9D">
        <w:rPr>
          <w:szCs w:val="24"/>
        </w:rPr>
        <w:t xml:space="preserve"> -</w:t>
      </w:r>
      <w:r w:rsidR="003C0E9D" w:rsidRPr="003C0E9D">
        <w:rPr>
          <w:szCs w:val="24"/>
        </w:rPr>
        <w:t xml:space="preserve"> among the ten examined post-mortem brains</w:t>
      </w:r>
      <w:r w:rsidR="003C0E9D">
        <w:rPr>
          <w:szCs w:val="24"/>
        </w:rPr>
        <w:t>; a</w:t>
      </w:r>
      <w:r w:rsidR="003C0E9D" w:rsidRPr="003C0E9D">
        <w:rPr>
          <w:szCs w:val="24"/>
        </w:rPr>
        <w:t>s a result, MPMs show a nonoverlapping representation of the Ch compartments</w:t>
      </w:r>
      <w:r w:rsidR="003C0E9D">
        <w:rPr>
          <w:szCs w:val="24"/>
        </w:rPr>
        <w:t>).</w:t>
      </w:r>
    </w:p>
    <w:p w:rsidR="00247703" w:rsidRDefault="00247703" w:rsidP="003755D2">
      <w:pPr>
        <w:rPr>
          <w:szCs w:val="24"/>
        </w:rPr>
      </w:pPr>
      <w:r w:rsidRPr="00247703">
        <w:rPr>
          <w:szCs w:val="24"/>
        </w:rPr>
        <w:t>Note the colors repres</w:t>
      </w:r>
      <w:r>
        <w:rPr>
          <w:szCs w:val="24"/>
        </w:rPr>
        <w:t>ent individual Ch compartments (</w:t>
      </w:r>
      <w:r w:rsidRPr="00247703">
        <w:rPr>
          <w:szCs w:val="24"/>
        </w:rPr>
        <w:t>Ch1–2: red; Ch3: green; Ch4: blue and Ch4p: beige</w:t>
      </w:r>
      <w:r>
        <w:rPr>
          <w:szCs w:val="24"/>
        </w:rPr>
        <w:t xml:space="preserve">) </w:t>
      </w:r>
      <w:r w:rsidRPr="00247703">
        <w:rPr>
          <w:szCs w:val="24"/>
        </w:rPr>
        <w:t>and not t</w:t>
      </w:r>
      <w:r>
        <w:rPr>
          <w:szCs w:val="24"/>
        </w:rPr>
        <w:t>he degree of overlap as in Figs above</w:t>
      </w:r>
      <w:r w:rsidRPr="00247703">
        <w:rPr>
          <w:szCs w:val="24"/>
        </w:rPr>
        <w:t xml:space="preserve">. </w:t>
      </w:r>
      <w:r>
        <w:rPr>
          <w:szCs w:val="24"/>
        </w:rPr>
        <w:t>T</w:t>
      </w:r>
      <w:r w:rsidRPr="00247703">
        <w:rPr>
          <w:szCs w:val="24"/>
        </w:rPr>
        <w:t>he left hemisphere is right.</w:t>
      </w:r>
    </w:p>
    <w:p w:rsidR="00247703" w:rsidRDefault="00247703" w:rsidP="003755D2">
      <w:pPr>
        <w:rPr>
          <w:szCs w:val="24"/>
        </w:rPr>
      </w:pPr>
      <w:r w:rsidRPr="00247703">
        <w:rPr>
          <w:noProof/>
          <w:szCs w:val="24"/>
        </w:rPr>
        <w:drawing>
          <wp:inline distT="0" distB="0" distL="0" distR="0">
            <wp:extent cx="6162040" cy="807974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62040" cy="8079740"/>
                    </a:xfrm>
                    <a:prstGeom prst="rect">
                      <a:avLst/>
                    </a:prstGeom>
                    <a:noFill/>
                    <a:ln>
                      <a:noFill/>
                    </a:ln>
                  </pic:spPr>
                </pic:pic>
              </a:graphicData>
            </a:graphic>
          </wp:inline>
        </w:drawing>
      </w:r>
    </w:p>
    <w:p w:rsidR="00247703" w:rsidRDefault="00247703" w:rsidP="00247703">
      <w:pPr>
        <w:jc w:val="right"/>
        <w:rPr>
          <w:szCs w:val="24"/>
        </w:rPr>
      </w:pPr>
      <w:r>
        <w:rPr>
          <w:szCs w:val="24"/>
        </w:rPr>
        <w:t>Zaborsky et al. 2008</w:t>
      </w:r>
    </w:p>
    <w:p w:rsidR="0003254E" w:rsidRDefault="0003254E" w:rsidP="003755D2">
      <w:pPr>
        <w:rPr>
          <w:szCs w:val="24"/>
        </w:rPr>
      </w:pPr>
    </w:p>
    <w:p w:rsidR="005F2A30" w:rsidRDefault="005F2A30" w:rsidP="003755D2">
      <w:pPr>
        <w:rPr>
          <w:szCs w:val="24"/>
        </w:rPr>
      </w:pPr>
      <w:r w:rsidRPr="005F2A30">
        <w:rPr>
          <w:szCs w:val="24"/>
        </w:rPr>
        <w:t xml:space="preserve">3D reconstruction of the Ch1–4 cell groups of the right hemisphere </w:t>
      </w:r>
      <w:r>
        <w:rPr>
          <w:szCs w:val="24"/>
        </w:rPr>
        <w:t>of one person.</w:t>
      </w:r>
    </w:p>
    <w:p w:rsidR="005F2A30" w:rsidRDefault="005F2A30" w:rsidP="003755D2">
      <w:pPr>
        <w:rPr>
          <w:szCs w:val="24"/>
        </w:rPr>
      </w:pPr>
      <w:r w:rsidRPr="005F2A30">
        <w:rPr>
          <w:szCs w:val="24"/>
        </w:rPr>
        <w:t>(A and B) Coronal view with two different angl</w:t>
      </w:r>
      <w:r>
        <w:rPr>
          <w:szCs w:val="24"/>
        </w:rPr>
        <w:t xml:space="preserve">es inclined towards the viewer. </w:t>
      </w:r>
      <w:r w:rsidRPr="005F2A30">
        <w:rPr>
          <w:szCs w:val="24"/>
        </w:rPr>
        <w:t>(C) Late</w:t>
      </w:r>
      <w:r>
        <w:rPr>
          <w:szCs w:val="24"/>
        </w:rPr>
        <w:t xml:space="preserve">ral view. </w:t>
      </w:r>
      <w:r w:rsidRPr="005F2A30">
        <w:rPr>
          <w:szCs w:val="24"/>
        </w:rPr>
        <w:t xml:space="preserve">(D) </w:t>
      </w:r>
      <w:r>
        <w:rPr>
          <w:szCs w:val="24"/>
        </w:rPr>
        <w:t>Ventral view, i.e. aspect from below.</w:t>
      </w:r>
    </w:p>
    <w:p w:rsidR="005F2A30" w:rsidRDefault="005F2A30" w:rsidP="003755D2">
      <w:pPr>
        <w:rPr>
          <w:szCs w:val="24"/>
        </w:rPr>
      </w:pPr>
      <w:r w:rsidRPr="005F2A30">
        <w:rPr>
          <w:szCs w:val="24"/>
        </w:rPr>
        <w:t>The Ch4 (blue) compartment consists of various size and shaped bands or clusters that are in part parallel and in part are associated each other. For better orientation, some of the larger clusters are arbitrarily termed wi</w:t>
      </w:r>
      <w:r>
        <w:rPr>
          <w:szCs w:val="24"/>
        </w:rPr>
        <w:t>th letters a–e.</w:t>
      </w:r>
    </w:p>
    <w:p w:rsidR="004F2530" w:rsidRDefault="004F2530" w:rsidP="003755D2">
      <w:pPr>
        <w:rPr>
          <w:szCs w:val="24"/>
        </w:rPr>
      </w:pPr>
      <w:r w:rsidRPr="004F2530">
        <w:rPr>
          <w:szCs w:val="24"/>
        </w:rPr>
        <w:t>If other structures were added to this rendering it becomes obvious that the various cell aggregates of the Ch4 compartment penetrate the nucleus accumbens, ventral pallidum, and the bed nucleus of the stria terminalis to some extent.</w:t>
      </w:r>
    </w:p>
    <w:p w:rsidR="005F2A30" w:rsidRDefault="005F2A30" w:rsidP="003755D2">
      <w:pPr>
        <w:rPr>
          <w:szCs w:val="24"/>
        </w:rPr>
      </w:pPr>
      <w:r w:rsidRPr="005F2A30">
        <w:rPr>
          <w:noProof/>
          <w:szCs w:val="24"/>
        </w:rPr>
        <w:drawing>
          <wp:inline distT="0" distB="0" distL="0" distR="0">
            <wp:extent cx="6300470" cy="4734365"/>
            <wp:effectExtent l="0" t="0" r="508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00470" cy="4734365"/>
                    </a:xfrm>
                    <a:prstGeom prst="rect">
                      <a:avLst/>
                    </a:prstGeom>
                    <a:noFill/>
                    <a:ln>
                      <a:noFill/>
                    </a:ln>
                  </pic:spPr>
                </pic:pic>
              </a:graphicData>
            </a:graphic>
          </wp:inline>
        </w:drawing>
      </w:r>
    </w:p>
    <w:p w:rsidR="005F2A30" w:rsidRDefault="005F2A30" w:rsidP="005F2A30">
      <w:pPr>
        <w:jc w:val="right"/>
        <w:rPr>
          <w:szCs w:val="24"/>
        </w:rPr>
      </w:pPr>
      <w:r>
        <w:rPr>
          <w:szCs w:val="24"/>
        </w:rPr>
        <w:t>Zaborsky et al. 2008</w:t>
      </w:r>
    </w:p>
    <w:p w:rsidR="001970B9" w:rsidRDefault="001970B9" w:rsidP="003755D2">
      <w:pPr>
        <w:rPr>
          <w:szCs w:val="24"/>
        </w:rPr>
      </w:pPr>
    </w:p>
    <w:p w:rsidR="00D974E8" w:rsidRPr="00D974E8" w:rsidRDefault="00D974E8" w:rsidP="00D974E8">
      <w:pPr>
        <w:rPr>
          <w:u w:val="single"/>
        </w:rPr>
      </w:pPr>
      <w:r w:rsidRPr="00D974E8">
        <w:rPr>
          <w:u w:val="single"/>
        </w:rPr>
        <w:t>Gratwicke et al. / Neuroscience and Biobehavioral Reviews 37 (2013):</w:t>
      </w:r>
    </w:p>
    <w:p w:rsidR="00D974E8" w:rsidRDefault="00D974E8" w:rsidP="00D974E8">
      <w:pPr>
        <w:rPr>
          <w:szCs w:val="24"/>
        </w:rPr>
      </w:pPr>
      <w:r>
        <w:t>NBM is a</w:t>
      </w:r>
      <w:r w:rsidR="004F2530">
        <w:t xml:space="preserve"> </w:t>
      </w:r>
      <w:r>
        <w:t>flat, nearly horizontal structure ext</w:t>
      </w:r>
      <w:r w:rsidR="004F2530">
        <w:t>ending from the olfactory tuber</w:t>
      </w:r>
      <w:r>
        <w:t>cle anteriorly to the level of the uncal hippocampus at its most caudal extent, spanning a distance of 13–14 mm in the sagittal plane. It reaches its greatest cross-sectional diameter under the</w:t>
      </w:r>
      <w:r w:rsidR="004F2530">
        <w:t xml:space="preserve"> </w:t>
      </w:r>
      <w:r>
        <w:t>anterior commissure in a region</w:t>
      </w:r>
      <w:r w:rsidR="004F2530">
        <w:t xml:space="preserve"> known as the substantia innomi</w:t>
      </w:r>
      <w:r>
        <w:t>nata, with a medio-lateral width of 16–18 mm (</w:t>
      </w:r>
      <w:r>
        <w:rPr>
          <w:color w:val="0080AC"/>
        </w:rPr>
        <w:t>Mesulam and Geula,1988</w:t>
      </w:r>
      <w:r>
        <w:t>). In its anterior portion the nucleus is limited inferiorly by the</w:t>
      </w:r>
      <w:r w:rsidR="004F2530">
        <w:t xml:space="preserve"> </w:t>
      </w:r>
      <w:r>
        <w:t>horizontal limb of the nucleus of the diagonal band of Broca, superomedially by the ventral globus pallidus, and superolaterally by the</w:t>
      </w:r>
      <w:r w:rsidR="004F2530">
        <w:t xml:space="preserve"> </w:t>
      </w:r>
      <w:r>
        <w:t>lateral extension of the anterior commissure (</w:t>
      </w:r>
      <w:r>
        <w:rPr>
          <w:color w:val="0080AC"/>
        </w:rPr>
        <w:t>Figs. 1 and 2</w:t>
      </w:r>
      <w:r>
        <w:t>). In its</w:t>
      </w:r>
      <w:r w:rsidR="005F133E">
        <w:t xml:space="preserve"> </w:t>
      </w:r>
      <w:r>
        <w:t>posterior portion it abuts the ansa lenticularis superiorly, the puta-men laterally, the posterior tip of the amygdala inferiorly, and the optic tract medially (</w:t>
      </w:r>
      <w:r>
        <w:rPr>
          <w:color w:val="0080AC"/>
        </w:rPr>
        <w:t>Fig. 2</w:t>
      </w:r>
      <w:r>
        <w:t>) (</w:t>
      </w:r>
      <w:r>
        <w:rPr>
          <w:color w:val="0080AC"/>
        </w:rPr>
        <w:t>Mesulam and Geula, 1988; Rossor et al.,</w:t>
      </w:r>
      <w:r w:rsidR="004F2530">
        <w:rPr>
          <w:color w:val="0080AC"/>
        </w:rPr>
        <w:t xml:space="preserve"> </w:t>
      </w:r>
      <w:r>
        <w:rPr>
          <w:color w:val="0080AC"/>
        </w:rPr>
        <w:t>1982</w:t>
      </w:r>
      <w:r>
        <w:t>).</w:t>
      </w:r>
    </w:p>
    <w:p w:rsidR="00D974E8" w:rsidRDefault="00D974E8" w:rsidP="00B47A4D"/>
    <w:p w:rsidR="00B47A4D" w:rsidRPr="00D974E8" w:rsidRDefault="00B47A4D" w:rsidP="00B47A4D">
      <w:pPr>
        <w:rPr>
          <w:u w:val="single"/>
        </w:rPr>
      </w:pPr>
      <w:r w:rsidRPr="00D974E8">
        <w:rPr>
          <w:u w:val="single"/>
        </w:rPr>
        <w:t>Gratwicke et al. / Neuroscience and Biobehavioral Reviews 37 (2013):</w:t>
      </w:r>
    </w:p>
    <w:p w:rsidR="00B47A4D" w:rsidRPr="00B47A4D" w:rsidRDefault="00B47A4D" w:rsidP="00B47A4D">
      <w:r w:rsidRPr="00B47A4D">
        <w:t>Representation of the major anatomical structures and fibre tracts related to the nucleus basalis of Meynert (Ch4, in red) in the human basal forebrain region. Overlying</w:t>
      </w:r>
      <w:r>
        <w:t xml:space="preserve"> </w:t>
      </w:r>
      <w:r w:rsidRPr="00B47A4D">
        <w:t>structures have been lifted upward to expose the NBM, as indicated by dashed grey lines. The major subsectors of the NBM are shown within the nucleus; their approximate</w:t>
      </w:r>
      <w:r>
        <w:t xml:space="preserve"> </w:t>
      </w:r>
      <w:r w:rsidRPr="00B47A4D">
        <w:t>anatomical boundaries are indicated by dashed black lines. The diagram is based on anatomical observations in the human brain by Mesulam and Geula (1988) and Rossor</w:t>
      </w:r>
      <w:r w:rsidR="006E28C8">
        <w:t xml:space="preserve"> </w:t>
      </w:r>
      <w:r w:rsidRPr="00B47A4D">
        <w:t>et al. (1982). A = amygdala; AC = anterior commissure (lateral aspect); AL = ansa lenticularis; Ch3 = horizontal limb nucleus of the diagonal band of Broca (cholinergic cell</w:t>
      </w:r>
      <w:r w:rsidR="005F133E">
        <w:t xml:space="preserve"> </w:t>
      </w:r>
      <w:r w:rsidRPr="00B47A4D">
        <w:t>group 3 of the basal forebrain); GPi = globus pallidus internus; GPe = globus pallidus externus; OT = optic tract; P = putamen; uH = uncal hippocampus. Subsectors of NBM as</w:t>
      </w:r>
      <w:r w:rsidR="005F133E">
        <w:t xml:space="preserve"> </w:t>
      </w:r>
      <w:r w:rsidRPr="00B47A4D">
        <w:t>described in the main text, NSP = nucleus subputaminalis.</w:t>
      </w:r>
    </w:p>
    <w:p w:rsidR="00B47A4D" w:rsidRDefault="00B47A4D" w:rsidP="00B47A4D">
      <w:r>
        <w:rPr>
          <w:noProof/>
        </w:rPr>
        <w:drawing>
          <wp:inline distT="0" distB="0" distL="0" distR="0" wp14:anchorId="31CFBCA3" wp14:editId="5782390C">
            <wp:extent cx="6300470" cy="4681220"/>
            <wp:effectExtent l="0" t="0" r="508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0470" cy="4681220"/>
                    </a:xfrm>
                    <a:prstGeom prst="rect">
                      <a:avLst/>
                    </a:prstGeom>
                  </pic:spPr>
                </pic:pic>
              </a:graphicData>
            </a:graphic>
          </wp:inline>
        </w:drawing>
      </w:r>
    </w:p>
    <w:p w:rsidR="00B47A4D" w:rsidRPr="00B47A4D" w:rsidRDefault="00B47A4D" w:rsidP="00B47A4D"/>
    <w:p w:rsidR="00B47A4D" w:rsidRDefault="00B47A4D" w:rsidP="00B47A4D"/>
    <w:p w:rsidR="00B47A4D" w:rsidRDefault="00B47A4D" w:rsidP="00B47A4D">
      <w:pPr>
        <w:pStyle w:val="Nervous1"/>
      </w:pPr>
      <w:bookmarkStart w:id="3" w:name="_Toc6655867"/>
      <w:r>
        <w:t>Connectivity</w:t>
      </w:r>
      <w:bookmarkEnd w:id="3"/>
    </w:p>
    <w:p w:rsidR="00B47A4D" w:rsidRPr="00D974E8" w:rsidRDefault="00B47A4D" w:rsidP="00B47A4D">
      <w:pPr>
        <w:rPr>
          <w:u w:val="single"/>
        </w:rPr>
      </w:pPr>
      <w:r w:rsidRPr="00D974E8">
        <w:rPr>
          <w:u w:val="single"/>
        </w:rPr>
        <w:t>Gratwicke et al. / Neuroscience and Biobehavioral Reviews 37 (2013):</w:t>
      </w:r>
    </w:p>
    <w:p w:rsidR="00B47A4D" w:rsidRDefault="00B47A4D" w:rsidP="00B47A4D">
      <w:pPr>
        <w:rPr>
          <w:szCs w:val="24"/>
        </w:rPr>
      </w:pPr>
      <w:r>
        <w:t>Anatomical diagram of the left hemisphere demonstrating location of the nucleus basalis of Meynert and its major projecting cholinergic pathways in the human</w:t>
      </w:r>
      <w:r w:rsidR="00606CA2">
        <w:t xml:space="preserve"> </w:t>
      </w:r>
      <w:r>
        <w:t>brain. The medial surface of the left hemisphere is closest to the viewer. A coronal section is presented at approximately 6 mm posterior to the midpoint of the anterior</w:t>
      </w:r>
      <w:r w:rsidR="00606CA2">
        <w:t xml:space="preserve"> </w:t>
      </w:r>
      <w:r>
        <w:t xml:space="preserve">commissure. The diagram is based on anatomical observations in the human brain by </w:t>
      </w:r>
      <w:r>
        <w:rPr>
          <w:color w:val="0080AC"/>
        </w:rPr>
        <w:t xml:space="preserve">Selden et al. (1998) </w:t>
      </w:r>
      <w:r>
        <w:t xml:space="preserve">and human diffusion tensor imaging studies by </w:t>
      </w:r>
      <w:r>
        <w:rPr>
          <w:color w:val="0080AC"/>
        </w:rPr>
        <w:t>Hong and Jang(2010)</w:t>
      </w:r>
      <w:r>
        <w:t>. A = amygdala; AC = anterior commissure (lateral aspect); C = caudate; Cg = Cingulate gyrus; F = frontal lobe (medial surface); GPi = globus pallidus (internus); IN = insular</w:t>
      </w:r>
      <w:r w:rsidR="00606CA2">
        <w:t xml:space="preserve"> </w:t>
      </w:r>
      <w:r>
        <w:t>cortex; NBM = nucleus basalis of Meynert; Oc = occipital lobe (medial surface); OF = orbitofrontal cortex; P = putamen; Pr = parietal lobe (medial surface).</w:t>
      </w:r>
    </w:p>
    <w:p w:rsidR="00B47A4D" w:rsidRDefault="00B47A4D" w:rsidP="00B47A4D">
      <w:pPr>
        <w:rPr>
          <w:szCs w:val="24"/>
        </w:rPr>
      </w:pPr>
      <w:r>
        <w:rPr>
          <w:noProof/>
        </w:rPr>
        <w:drawing>
          <wp:inline distT="0" distB="0" distL="0" distR="0" wp14:anchorId="2CA47B3F" wp14:editId="7D4F2285">
            <wp:extent cx="6300470" cy="4479925"/>
            <wp:effectExtent l="0" t="0" r="508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00470" cy="4479925"/>
                    </a:xfrm>
                    <a:prstGeom prst="rect">
                      <a:avLst/>
                    </a:prstGeom>
                  </pic:spPr>
                </pic:pic>
              </a:graphicData>
            </a:graphic>
          </wp:inline>
        </w:drawing>
      </w:r>
    </w:p>
    <w:p w:rsidR="00B47A4D" w:rsidRDefault="00B47A4D" w:rsidP="00B47A4D">
      <w:pPr>
        <w:rPr>
          <w:szCs w:val="24"/>
        </w:rPr>
      </w:pPr>
    </w:p>
    <w:p w:rsidR="00F838F9" w:rsidRDefault="00F838F9" w:rsidP="00B47A4D">
      <w:pPr>
        <w:rPr>
          <w:szCs w:val="24"/>
        </w:rPr>
      </w:pPr>
    </w:p>
    <w:p w:rsidR="00F838F9" w:rsidRDefault="00F838F9" w:rsidP="00F838F9"/>
    <w:p w:rsidR="00F838F9" w:rsidRDefault="00F838F9" w:rsidP="00F838F9">
      <w:r w:rsidRPr="00F838F9">
        <w:t>The efferent connectivity between individual subsec-tors of NBM and cortical areas displays a topographic specificityaccording to both retrograde tracer experiments in the primate andneuropathological studies in human AD patients (Fig. 3): Ch4amprovides the major cholinergic projection to frontal, parietal andcingulate cortices situated along the medial wall of the hemisphere.Lesser projections are directed to the hypothalamus, hippocampalformation, ventral somatosensory cortex, amygdala, ventrolateralorbital, middle insular, periarcuate, peristriate, parahippocampalregions and the inferior parietal lobule. The Ch4al subsector is theprincipal source of cholinergic projections to frontoparietal oper-cular regions and the amygdala. Additional projections are directedto the olfactory bulb, medial frontal pole, dorsomedial motor cor-tex, ventrolateral orbital cortex, insular, inferotemporal area andparahippocampal regions. The Ch4id and Ch4iv subsectors havesimilar projection patterns: they give prominent projections toventrolateral orbital, insular, periarcuate, peristriate, inferotempo-ral, and parahippocampal areas as well as to the inferior parietallobule. Minor projections occur to the medial frontal pole, dorso-medial motor cortex, frontoparietal opercular areas, the amygdala,anterior auditory cortex, and the temporal pole. Lastly the Ch4psubsector has a more restricted major projection to the superiortemporal gyrus and the temporal pole. Its lesser projections areconfined to adjacent inferotemporal and posterior insular regions(Jones et al., 1976; Mesulam and Geula, 1988; Mesulam et al., 1983).Efferent cholinergic fibres from the human NSP course in the exter-nal capsule towards the inferior frontal gyrus, which lead Simicet al. to propose that it projects to the cortical speech area in man(Simi´c et al., 1999).The complex topographical arrangement of Ch4 efferent con-nectivity also contains considerable overlap between individualsubsectors according to primate tracing studies. Some corticalareas, such as the ventrolateral orbital, insular, parahippocam-pal and peristriate cortices, receive projections of comparable sizefrom many different Ch4 subsectors (Mesulam et al., 1983). Thismay allow for some redundancy in the system, which could pre-vent these cortical areas from substantial cholinergic denervationshould one Ch4 subsector be preferentially affected by disease. Onthe other hand, other cortical regions such as medial frontoparietal,superior temporal and temporopolar regions receive Ch4 projec-tions from a much more restricted number of subsectors, and couldtherefore be much more vulnerable to cholinergic denervation fol-lowing limited NBM cell loss in those areas. This is supported byobservations in human post-mortem brain tissue which show thatthere is secondary degeneration in the nucleus basalis followingtemporal lobe lesions, but not after frontal or parietal lobe lesions(Kodama, 1929).</w:t>
      </w:r>
    </w:p>
    <w:p w:rsidR="00B47A4D" w:rsidRDefault="00B47A4D" w:rsidP="00F838F9"/>
    <w:p w:rsidR="00F838F9" w:rsidRDefault="00F838F9" w:rsidP="00F838F9">
      <w:r w:rsidRPr="00F838F9">
        <w:t>The major proposed connections of the human NBM with cortical and subcortical structures (see text for details). Major afferent projections (bright green arrows)</w:t>
      </w:r>
      <w:r w:rsidR="0081075B">
        <w:t xml:space="preserve"> </w:t>
      </w:r>
      <w:r w:rsidRPr="00F838F9">
        <w:t>are inputs to NBM as a whole: catecholaminergic projections from VTA, SNpc, retrorubral field, raphe nuclei and locus coeruleus; serotonergic projections from dorsal raphenuclei and VTA; cholinergic projections from pedunculopontine nucleus. Major efferent projections (bright red arrows) are shown according to their principle NBM subsectorof origin. Most NBM subsectors have additional minor projections which overlap with the cortical target fields of other subsectors, creating redundancy in the topographicalarrangement of projections (these are not shown but are detailed in the text). The major efferent projections to the caudate/putamen and thalamus are from NBM as a whole</w:t>
      </w:r>
      <w:r w:rsidR="0081075B">
        <w:t xml:space="preserve"> </w:t>
      </w:r>
      <w:r w:rsidRPr="00F838F9">
        <w:t>(dark red arrow). All efferent projections are cholinergic. The diagram is based on axonal tracing experiments in primates (Mesulam et al., 1983; Russchen et al., 1985),</w:t>
      </w:r>
      <w:r w:rsidR="0081075B">
        <w:t xml:space="preserve"> </w:t>
      </w:r>
      <w:r w:rsidRPr="00F838F9">
        <w:t>immunohistochemical studies in rodents (Jones and Cuello, 1989) and pathological observations in human tissue (Mesulam and Geula, 1988). Cx = abbreviation for ‘cortex’;NBM = nucleus basalis of Meynert (subsectors of NBM as described in main text); retic. formation = brainstem reticular formation; SNpc = substantia nigra pars compacta;VTA = v</w:t>
      </w:r>
      <w:r>
        <w:t>entral tegmental area.:</w:t>
      </w:r>
    </w:p>
    <w:p w:rsidR="00F838F9" w:rsidRDefault="00F838F9" w:rsidP="00F838F9">
      <w:r>
        <w:rPr>
          <w:noProof/>
        </w:rPr>
        <w:drawing>
          <wp:inline distT="0" distB="0" distL="0" distR="0" wp14:anchorId="67D7121B" wp14:editId="20F4308E">
            <wp:extent cx="6300470" cy="4552315"/>
            <wp:effectExtent l="0" t="0" r="508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0470" cy="4552315"/>
                    </a:xfrm>
                    <a:prstGeom prst="rect">
                      <a:avLst/>
                    </a:prstGeom>
                  </pic:spPr>
                </pic:pic>
              </a:graphicData>
            </a:graphic>
          </wp:inline>
        </w:drawing>
      </w:r>
    </w:p>
    <w:p w:rsidR="00F838F9" w:rsidRDefault="00F838F9" w:rsidP="00F838F9"/>
    <w:p w:rsidR="00B47A4D" w:rsidRDefault="00B47A4D" w:rsidP="00D32205"/>
    <w:p w:rsidR="00D32205" w:rsidRPr="00D32205" w:rsidRDefault="00D32205" w:rsidP="00D32205">
      <w:r w:rsidRPr="00D32205">
        <w:t>Immunohistochemical mapping in post-mortem brain tissue</w:t>
      </w:r>
      <w:r w:rsidR="00C746C9">
        <w:t xml:space="preserve"> </w:t>
      </w:r>
      <w:r w:rsidRPr="00D32205">
        <w:t>from healthy human subjects shows that efferent cholinergic projections from the NBM leave the nucleus in two highly discrete</w:t>
      </w:r>
      <w:r w:rsidR="00C746C9">
        <w:t xml:space="preserve"> </w:t>
      </w:r>
      <w:r w:rsidRPr="00D32205">
        <w:t>organized fibre bundles which form the medial and lateral cholinergic pathways (Fig. 1) (Selden et al., 1998). The cholinergic axons</w:t>
      </w:r>
      <w:r w:rsidR="00C746C9">
        <w:t xml:space="preserve"> </w:t>
      </w:r>
      <w:r w:rsidRPr="00D32205">
        <w:t>in these bundles are mostly unmyelinated (Wainer and Mesulam,1990). Both the human post-mortem studies and MRI diffusion tensor tractography in healthy volunteers demonstrate that the medial</w:t>
      </w:r>
      <w:r w:rsidR="00C746C9">
        <w:t xml:space="preserve"> </w:t>
      </w:r>
      <w:r w:rsidRPr="00D32205">
        <w:t>pathway leaves the NBM anteriorly and joins the white matter ofthe gyrus rectus. It curves round the rostrum of the corpus callosum</w:t>
      </w:r>
      <w:r w:rsidR="00C746C9">
        <w:t xml:space="preserve"> </w:t>
      </w:r>
      <w:r w:rsidRPr="00D32205">
        <w:t>to enter the cingulum, travels posteriorly to the splenium andenters the retrosplenial white matter to merge with fibres of the</w:t>
      </w:r>
      <w:r w:rsidR="00C746C9">
        <w:t xml:space="preserve"> </w:t>
      </w:r>
      <w:r w:rsidRPr="00D32205">
        <w:t>lateral pathway in the occipital lobe (Hong and Jang, 2010; Seldenet al., 1998). Individual axons radiate from this pathway to supply</w:t>
      </w:r>
      <w:r w:rsidR="00C746C9">
        <w:t xml:space="preserve"> </w:t>
      </w:r>
      <w:r w:rsidRPr="00D32205">
        <w:t>the medial orbitofrontal, subcallosal, cingulate, pericingulate and</w:t>
      </w:r>
      <w:r w:rsidR="00C746C9">
        <w:t xml:space="preserve"> </w:t>
      </w:r>
      <w:r w:rsidRPr="00D32205">
        <w:t>retrosplenial cortices. The lateral pathway subdivides into a capsular division, travelling within the external capsule, and a perisylvian</w:t>
      </w:r>
      <w:r w:rsidR="00C746C9">
        <w:t xml:space="preserve"> </w:t>
      </w:r>
      <w:r w:rsidRPr="00D32205">
        <w:t>division, travelling within the claustrum (Selden et al., 1998). Onleaving the lateral aspect of NBM the capsular division gives off</w:t>
      </w:r>
      <w:r w:rsidR="00C746C9">
        <w:t xml:space="preserve"> </w:t>
      </w:r>
      <w:r w:rsidRPr="00D32205">
        <w:t>a bundle of fibres ventrally which travel in the white matter ofthe uncinate fasciculus to supply the amygdala and temporal lobe</w:t>
      </w:r>
      <w:r w:rsidR="00C746C9">
        <w:t xml:space="preserve"> </w:t>
      </w:r>
      <w:r w:rsidRPr="00D32205">
        <w:t>cortices. The rest of the capsular division ascends in the externalcapsule adjacent to the putamen and its individual fibres radiateout to supply the dorsal frontoparietal cortex, middle and infe-rior temporal gyri, inferotemporal cortex and the parahippocampalgyrus. The perisylvian division courses within the claustrum intothe white matter of the inferior frontal and superior temporal gyri.</w:t>
      </w:r>
      <w:r w:rsidR="00C746C9">
        <w:t xml:space="preserve"> </w:t>
      </w:r>
      <w:r w:rsidRPr="00D32205">
        <w:t>From here its fibres radiate out to supply the frontoparietal opercu-lar cortices, superior temporal gyrus and the insula. The medial andlateral cholinergic pathways merge anteriorly in the white matter</w:t>
      </w:r>
      <w:r w:rsidR="00C746C9">
        <w:t xml:space="preserve"> </w:t>
      </w:r>
      <w:r w:rsidRPr="00D32205">
        <w:t>of the orbitofrontal gyri. These cortical projections from the NBMalso have a weak contralateral component (Mesulam et al., 1983).These cholinergic projection fibres form a dense plexus in</w:t>
      </w:r>
      <w:r w:rsidR="00C746C9">
        <w:t xml:space="preserve"> </w:t>
      </w:r>
      <w:r w:rsidRPr="00D32205">
        <w:t>all regions of the human neocortex, displaying numerous end-terminal swellings which likely represent synaptic specializationsas they are often in intimate contact with cortical cholinoceptive neurons (Mesulam and Geula, 1988). There are differencesin the regional densities of NBM cortical innervations: limbic andparalimbic areas (particularly hippocampal, amygdala and piriformregions) receive substantially higher levels of cholinergic inputthan adjacent neocortical association areas. Apart from the cor-tex and amygdala both primate and human pathological studiesshow that the NBM also sends substantial efferent projections to anumber of diencephalic structures, including the caudate nucleus, putamen, thalamus (Fig. 3) and habenular nucleus (via the striamedullaris)(Jones et al., 1976; Mesulam and Geula, 1988; Mesulamet al., 1992).Overall, the heterogeneous neural input to NBM from predomi-nantly limbic structures combined with its dominant cholinergicoutput to the entire neocortex places it in a unique positionin the brain where it can influence all aspects of complex</w:t>
      </w:r>
      <w:r w:rsidR="00F94963">
        <w:t xml:space="preserve"> </w:t>
      </w:r>
      <w:r w:rsidRPr="00D32205">
        <w:t>behaviour according to the prevailing emotional or motivationalstate (Mesulam, 1987).</w:t>
      </w:r>
    </w:p>
    <w:p w:rsidR="00D32205" w:rsidRDefault="00D32205" w:rsidP="00D32205"/>
    <w:p w:rsidR="00C746C9" w:rsidRDefault="00C746C9" w:rsidP="00D32205"/>
    <w:p w:rsidR="00C746C9" w:rsidRDefault="00C746C9" w:rsidP="00D32205">
      <w:r w:rsidRPr="00C746C9">
        <w:t>Projected innervation map of the various Ch4 regions (Ch4a, green; Ch4i, blue; Ch4p, red) in the human brain on the lateral surface (top left) and at the mid-sagittal plane (top right). Cortical projection from the Ch4ai (turquoise) is curren</w:t>
      </w:r>
      <w:r>
        <w:t>tly unknown in the human brain:</w:t>
      </w:r>
    </w:p>
    <w:p w:rsidR="00DF24FD" w:rsidRDefault="00DF24FD" w:rsidP="00D32205"/>
    <w:p w:rsidR="00C746C9" w:rsidRDefault="00C746C9" w:rsidP="00D32205">
      <w:r w:rsidRPr="00C746C9">
        <w:rPr>
          <w:noProof/>
        </w:rPr>
        <w:drawing>
          <wp:inline distT="0" distB="0" distL="0" distR="0">
            <wp:extent cx="5001768" cy="4197096"/>
            <wp:effectExtent l="0" t="0" r="889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01768" cy="4197096"/>
                    </a:xfrm>
                    <a:prstGeom prst="rect">
                      <a:avLst/>
                    </a:prstGeom>
                    <a:noFill/>
                    <a:ln>
                      <a:noFill/>
                    </a:ln>
                  </pic:spPr>
                </pic:pic>
              </a:graphicData>
            </a:graphic>
          </wp:inline>
        </w:drawing>
      </w:r>
    </w:p>
    <w:p w:rsidR="00C746C9" w:rsidRDefault="00DF24FD" w:rsidP="00E86A7B">
      <w:pPr>
        <w:pStyle w:val="Sourceofpicture"/>
        <w:ind w:left="4320"/>
      </w:pPr>
      <w:r>
        <w:t xml:space="preserve">Source of picture: </w:t>
      </w:r>
      <w:r w:rsidR="00C85C6E">
        <w:t>Liu</w:t>
      </w:r>
      <w:r w:rsidR="00E86A7B">
        <w:t xml:space="preserve"> et al. </w:t>
      </w:r>
      <w:r w:rsidR="00E86A7B">
        <w:rPr>
          <w:rFonts w:ascii="Times-Roman" w:hAnsi="Times-Roman" w:cs="Times-Roman"/>
          <w:sz w:val="17"/>
          <w:szCs w:val="17"/>
        </w:rPr>
        <w:t>Acta Neuropathol (2015) 129:527–540</w:t>
      </w:r>
    </w:p>
    <w:p w:rsidR="00D32205" w:rsidRDefault="00D32205" w:rsidP="00F838F9"/>
    <w:p w:rsidR="0081075B" w:rsidRDefault="0081075B" w:rsidP="00F838F9"/>
    <w:p w:rsidR="0081075B" w:rsidRDefault="0081075B" w:rsidP="00F838F9">
      <w:r w:rsidRPr="0081075B">
        <w:t>3D view of the nucleus basalis of Meynert (NbM) cortical pathway reconstructions thresholded at 5 % with colours depicting the contribution of the projections from the medial and lateral seed ROI separately. Blue: contribution of projections from the medial seed ROI</w:t>
      </w:r>
      <w:r>
        <w:t xml:space="preserve"> (medial NBM)</w:t>
      </w:r>
      <w:r w:rsidRPr="0081075B">
        <w:t>. Red: contribution of projections from the lateral seed ROI</w:t>
      </w:r>
      <w:r>
        <w:t xml:space="preserve"> (lateral NBM)</w:t>
      </w:r>
      <w:r w:rsidRPr="0081075B">
        <w:t>. Yellow: overlap between the projections from the medial and lateral seed ROIs. Top row: 3D brain depicting the viewing angle of the middle row (not to scale). Middle row: lateral view of the 3D reconstruction at an angle of 90, 45 and 20 degrees from the frontal view. Bottom row: craniocaudal view of the 3D reconstruction depicted in the middle row</w:t>
      </w:r>
      <w:r>
        <w:t>:</w:t>
      </w:r>
    </w:p>
    <w:p w:rsidR="0081075B" w:rsidRDefault="0081075B" w:rsidP="00F838F9">
      <w:r w:rsidRPr="0081075B">
        <w:rPr>
          <w:noProof/>
        </w:rPr>
        <w:drawing>
          <wp:inline distT="0" distB="0" distL="0" distR="0">
            <wp:extent cx="6300470" cy="6462206"/>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0470" cy="6462206"/>
                    </a:xfrm>
                    <a:prstGeom prst="rect">
                      <a:avLst/>
                    </a:prstGeom>
                    <a:noFill/>
                    <a:ln>
                      <a:noFill/>
                    </a:ln>
                  </pic:spPr>
                </pic:pic>
              </a:graphicData>
            </a:graphic>
          </wp:inline>
        </w:drawing>
      </w:r>
    </w:p>
    <w:p w:rsidR="0081075B" w:rsidRDefault="0081075B" w:rsidP="0081075B">
      <w:pPr>
        <w:jc w:val="right"/>
      </w:pPr>
      <w:r>
        <w:t>van Dalen et al. (2016)</w:t>
      </w:r>
    </w:p>
    <w:p w:rsidR="00C746C9" w:rsidRDefault="00C746C9" w:rsidP="00F838F9"/>
    <w:p w:rsidR="0081075B" w:rsidRDefault="0081075B" w:rsidP="00F838F9"/>
    <w:p w:rsidR="006C18BB" w:rsidRDefault="006C18BB" w:rsidP="006C18BB">
      <w:pPr>
        <w:pStyle w:val="Nervous1"/>
      </w:pPr>
      <w:bookmarkStart w:id="4" w:name="_Toc6655868"/>
      <w:r>
        <w:t>MR imaging</w:t>
      </w:r>
      <w:bookmarkEnd w:id="4"/>
    </w:p>
    <w:p w:rsidR="006C18BB" w:rsidRDefault="006C18BB" w:rsidP="006C18BB">
      <w:pPr>
        <w:pStyle w:val="ListParagraph"/>
        <w:numPr>
          <w:ilvl w:val="0"/>
          <w:numId w:val="6"/>
        </w:numPr>
      </w:pPr>
      <w:r w:rsidRPr="00DB340F">
        <w:t>thin-section T2-weighted MR</w:t>
      </w:r>
    </w:p>
    <w:p w:rsidR="006C18BB" w:rsidRDefault="006C18BB" w:rsidP="006C18BB">
      <w:pPr>
        <w:pStyle w:val="ListParagraph"/>
        <w:numPr>
          <w:ilvl w:val="0"/>
          <w:numId w:val="6"/>
        </w:numPr>
      </w:pPr>
      <w:r w:rsidRPr="004D0098">
        <w:t>same signal intensity as that of the gray</w:t>
      </w:r>
      <w:r>
        <w:t xml:space="preserve"> </w:t>
      </w:r>
      <w:r w:rsidRPr="004D0098">
        <w:t>matter</w:t>
      </w:r>
    </w:p>
    <w:p w:rsidR="006C18BB" w:rsidRDefault="006C18BB" w:rsidP="006C18BB">
      <w:pPr>
        <w:pStyle w:val="ListParagraph"/>
        <w:numPr>
          <w:ilvl w:val="0"/>
          <w:numId w:val="6"/>
        </w:numPr>
        <w:rPr>
          <w:szCs w:val="24"/>
          <w:shd w:val="clear" w:color="auto" w:fill="FFFFFF"/>
        </w:rPr>
      </w:pPr>
      <w:r w:rsidRPr="00432E1A">
        <w:rPr>
          <w:szCs w:val="24"/>
          <w:shd w:val="clear" w:color="auto" w:fill="FFFFFF"/>
        </w:rPr>
        <w:t xml:space="preserve">inferior to </w:t>
      </w:r>
      <w:r w:rsidRPr="00432E1A">
        <w:rPr>
          <w:szCs w:val="24"/>
        </w:rPr>
        <w:t>globus pallidus</w:t>
      </w:r>
      <w:r w:rsidRPr="00432E1A">
        <w:rPr>
          <w:szCs w:val="24"/>
          <w:shd w:val="clear" w:color="auto" w:fill="FFFFFF"/>
        </w:rPr>
        <w:t>.</w:t>
      </w:r>
    </w:p>
    <w:p w:rsidR="006C18BB" w:rsidRDefault="006C18BB" w:rsidP="006C18BB">
      <w:pPr>
        <w:pStyle w:val="ListParagraph"/>
        <w:numPr>
          <w:ilvl w:val="0"/>
          <w:numId w:val="6"/>
        </w:numPr>
        <w:rPr>
          <w:szCs w:val="24"/>
        </w:rPr>
      </w:pPr>
      <w:r w:rsidRPr="00656414">
        <w:rPr>
          <w:szCs w:val="24"/>
        </w:rPr>
        <w:t>in substantia innominata of anterior perforated substance</w:t>
      </w:r>
    </w:p>
    <w:p w:rsidR="00FE0A81" w:rsidRPr="00FE0A81" w:rsidRDefault="00FE0A81" w:rsidP="003261C0">
      <w:pPr>
        <w:pStyle w:val="ListParagraph"/>
        <w:numPr>
          <w:ilvl w:val="0"/>
          <w:numId w:val="6"/>
        </w:numPr>
        <w:rPr>
          <w:szCs w:val="24"/>
        </w:rPr>
      </w:pPr>
      <w:r w:rsidRPr="00FE0A81">
        <w:rPr>
          <w:szCs w:val="24"/>
        </w:rPr>
        <w:t>substantia innominata has no clear anatomical borders at its anterior, posterior, and lateral extent</w:t>
      </w:r>
    </w:p>
    <w:p w:rsidR="006C18BB" w:rsidRDefault="006C18BB" w:rsidP="006C18BB"/>
    <w:p w:rsidR="00DE3A3F" w:rsidRDefault="00DE3A3F" w:rsidP="006C18BB"/>
    <w:p w:rsidR="00DE3A3F" w:rsidRDefault="00DE3A3F" w:rsidP="00DE3A3F">
      <w:r w:rsidRPr="00DE3A3F">
        <w:t>Probabilistic maps of compartments of the basal forebrain magnocellular system are now available as an open source reference for correlation with fMRI, PET, and structural MRI data of the living human brain (Zaborsky 2008)</w:t>
      </w:r>
    </w:p>
    <w:p w:rsidR="00DE3A3F" w:rsidRDefault="00DE3A3F" w:rsidP="006C18BB"/>
    <w:p w:rsidR="00DE3A3F" w:rsidRDefault="00DE3A3F" w:rsidP="006C18BB"/>
    <w:p w:rsidR="006C18BB" w:rsidRDefault="006C18BB" w:rsidP="006C18BB">
      <w:r w:rsidRPr="00C815B5">
        <w:rPr>
          <w:b/>
          <w:u w:val="single"/>
        </w:rPr>
        <w:t>Volume</w:t>
      </w:r>
      <w:r>
        <w:t xml:space="preserve">: </w:t>
      </w:r>
      <w:r w:rsidRPr="00C815B5">
        <w:t xml:space="preserve">normalized SI volume </w:t>
      </w:r>
      <w:r>
        <w:t xml:space="preserve">in normal subjects </w:t>
      </w:r>
      <w:r w:rsidRPr="00C815B5">
        <w:t xml:space="preserve">1.68 </w:t>
      </w:r>
      <w:r>
        <w:t>±</w:t>
      </w:r>
      <w:r w:rsidRPr="00C815B5">
        <w:t xml:space="preserve"> 0.11</w:t>
      </w:r>
      <w:r>
        <w:t xml:space="preserve"> (Choi et al. 2012)</w:t>
      </w:r>
    </w:p>
    <w:p w:rsidR="006C18BB" w:rsidRDefault="00DD7425" w:rsidP="00DD7425">
      <w:r w:rsidRPr="00DD7425">
        <w:t>The volume of the basal forebrain complex in the human brain varies from 58 to 154 mm3 [Grinberg and Heinsen, 2007; Halliday et al., 1993].</w:t>
      </w:r>
    </w:p>
    <w:p w:rsidR="00DD7425" w:rsidRDefault="00DD7425" w:rsidP="006C18BB"/>
    <w:p w:rsidR="00DD7425" w:rsidRDefault="00DD7425" w:rsidP="006C18BB"/>
    <w:p w:rsidR="006C18BB" w:rsidRDefault="006C18BB" w:rsidP="006C18BB">
      <w:r w:rsidRPr="00FF3BD5">
        <w:rPr>
          <w:b/>
          <w:u w:val="single"/>
        </w:rPr>
        <w:t>Coronal</w:t>
      </w:r>
      <w:r w:rsidRPr="00DB340F">
        <w:t xml:space="preserve"> </w:t>
      </w:r>
      <w:r>
        <w:t>(through the anterior commissure):</w:t>
      </w:r>
    </w:p>
    <w:p w:rsidR="006C18BB" w:rsidRPr="009836B9" w:rsidRDefault="006C18BB" w:rsidP="009836B9">
      <w:pPr>
        <w:pStyle w:val="ListParagraph"/>
        <w:numPr>
          <w:ilvl w:val="0"/>
          <w:numId w:val="3"/>
        </w:numPr>
        <w:rPr>
          <w:szCs w:val="24"/>
          <w:shd w:val="clear" w:color="auto" w:fill="FFFFFF"/>
        </w:rPr>
      </w:pPr>
      <w:r w:rsidRPr="009836B9">
        <w:rPr>
          <w:szCs w:val="24"/>
          <w:shd w:val="clear" w:color="auto" w:fill="FFFFFF"/>
        </w:rPr>
        <w:t>narrow band between the margin of subcommissural part of the globus pallidus and surface of the substantia innominata</w:t>
      </w:r>
    </w:p>
    <w:p w:rsidR="006C18BB" w:rsidRPr="009836B9" w:rsidRDefault="006C18BB" w:rsidP="009836B9">
      <w:pPr>
        <w:pStyle w:val="ListParagraph"/>
        <w:numPr>
          <w:ilvl w:val="0"/>
          <w:numId w:val="3"/>
        </w:numPr>
        <w:rPr>
          <w:szCs w:val="24"/>
          <w:shd w:val="clear" w:color="auto" w:fill="FFFFFF"/>
        </w:rPr>
      </w:pPr>
      <w:r w:rsidRPr="009836B9">
        <w:rPr>
          <w:szCs w:val="24"/>
          <w:shd w:val="clear" w:color="auto" w:fill="FFFFFF"/>
        </w:rPr>
        <w:t>rostrocaudal thickness of NBM - measured at the narrowest portion of the substantia innominata on the plane through the</w:t>
      </w:r>
      <w:r w:rsidR="0041602F">
        <w:rPr>
          <w:szCs w:val="24"/>
          <w:shd w:val="clear" w:color="auto" w:fill="FFFFFF"/>
        </w:rPr>
        <w:t xml:space="preserve"> anterior commissure - about 2 m</w:t>
      </w:r>
      <w:r w:rsidRPr="009836B9">
        <w:rPr>
          <w:szCs w:val="24"/>
          <w:shd w:val="clear" w:color="auto" w:fill="FFFFFF"/>
        </w:rPr>
        <w:t>m.</w:t>
      </w:r>
    </w:p>
    <w:p w:rsidR="00432E1A" w:rsidRPr="00432E1A" w:rsidRDefault="00432E1A" w:rsidP="00432E1A">
      <w:pPr>
        <w:pStyle w:val="ListParagraph"/>
        <w:numPr>
          <w:ilvl w:val="0"/>
          <w:numId w:val="3"/>
        </w:numPr>
        <w:rPr>
          <w:szCs w:val="24"/>
          <w:shd w:val="clear" w:color="auto" w:fill="FFFFFF"/>
        </w:rPr>
      </w:pPr>
      <w:r w:rsidRPr="00432E1A">
        <w:rPr>
          <w:szCs w:val="24"/>
          <w:shd w:val="clear" w:color="auto" w:fill="FFFFFF"/>
        </w:rPr>
        <w:t xml:space="preserve">immediately inferior to </w:t>
      </w:r>
      <w:r w:rsidRPr="00432E1A">
        <w:rPr>
          <w:szCs w:val="24"/>
        </w:rPr>
        <w:t>anterior commissure </w:t>
      </w:r>
      <w:r w:rsidRPr="00432E1A">
        <w:rPr>
          <w:szCs w:val="24"/>
          <w:shd w:val="clear" w:color="auto" w:fill="FFFFFF"/>
        </w:rPr>
        <w:t xml:space="preserve">and superior and lateral to anterior portion of </w:t>
      </w:r>
      <w:r w:rsidRPr="00432E1A">
        <w:rPr>
          <w:szCs w:val="24"/>
        </w:rPr>
        <w:t>hypothalamus</w:t>
      </w:r>
      <w:r w:rsidRPr="00432E1A">
        <w:rPr>
          <w:szCs w:val="24"/>
          <w:shd w:val="clear" w:color="auto" w:fill="FFFFFF"/>
        </w:rPr>
        <w:t>.</w:t>
      </w:r>
    </w:p>
    <w:p w:rsidR="00432E1A" w:rsidRDefault="00432E1A" w:rsidP="003755D2"/>
    <w:p w:rsidR="00FE0A81" w:rsidRDefault="00FE0A81" w:rsidP="003755D2"/>
    <w:p w:rsidR="00FE0A81" w:rsidRDefault="00FE0A81" w:rsidP="009221E3">
      <w:pPr>
        <w:pStyle w:val="Nervous6"/>
        <w:ind w:right="7312"/>
        <w:rPr>
          <w:szCs w:val="24"/>
        </w:rPr>
      </w:pPr>
      <w:bookmarkStart w:id="5" w:name="_Toc6655869"/>
      <w:r>
        <w:t>A</w:t>
      </w:r>
      <w:r w:rsidRPr="00FE0A81">
        <w:t>natomical borders</w:t>
      </w:r>
      <w:bookmarkEnd w:id="5"/>
    </w:p>
    <w:p w:rsidR="00FE0A81" w:rsidRDefault="00FE0A81" w:rsidP="003755D2">
      <w:pPr>
        <w:rPr>
          <w:szCs w:val="24"/>
          <w:shd w:val="clear" w:color="auto" w:fill="FFFFFF"/>
        </w:rPr>
      </w:pPr>
      <w:r w:rsidRPr="0041602F">
        <w:rPr>
          <w:b/>
          <w:szCs w:val="24"/>
        </w:rPr>
        <w:t>superior</w:t>
      </w:r>
      <w:r>
        <w:rPr>
          <w:szCs w:val="24"/>
        </w:rPr>
        <w:t xml:space="preserve"> - anterior commissure</w:t>
      </w:r>
      <w:r w:rsidR="006D4083">
        <w:rPr>
          <w:szCs w:val="24"/>
        </w:rPr>
        <w:t>*</w:t>
      </w:r>
      <w:r>
        <w:rPr>
          <w:szCs w:val="24"/>
        </w:rPr>
        <w:t xml:space="preserve">, </w:t>
      </w:r>
      <w:r w:rsidRPr="009836B9">
        <w:rPr>
          <w:szCs w:val="24"/>
          <w:shd w:val="clear" w:color="auto" w:fill="FFFFFF"/>
        </w:rPr>
        <w:t>margin of subcommissural part of the globus pallidus</w:t>
      </w:r>
    </w:p>
    <w:p w:rsidR="006D4083" w:rsidRDefault="006D4083" w:rsidP="006D4083">
      <w:pPr>
        <w:ind w:left="1440"/>
        <w:rPr>
          <w:szCs w:val="24"/>
        </w:rPr>
      </w:pPr>
      <w:r>
        <w:rPr>
          <w:szCs w:val="24"/>
          <w:shd w:val="clear" w:color="auto" w:fill="FFFFFF"/>
        </w:rPr>
        <w:t>*at</w:t>
      </w:r>
      <w:r w:rsidRPr="006D4083">
        <w:t xml:space="preserve"> </w:t>
      </w:r>
      <w:r w:rsidRPr="006D4083">
        <w:rPr>
          <w:szCs w:val="24"/>
          <w:shd w:val="clear" w:color="auto" w:fill="FFFFFF"/>
        </w:rPr>
        <w:t>the superior part of the posterior end of the anterior third of the substantia innominata</w:t>
      </w:r>
    </w:p>
    <w:p w:rsidR="00FE0A81" w:rsidRDefault="00FE0A81" w:rsidP="003755D2">
      <w:pPr>
        <w:rPr>
          <w:szCs w:val="24"/>
        </w:rPr>
      </w:pPr>
      <w:r w:rsidRPr="0041602F">
        <w:rPr>
          <w:b/>
          <w:szCs w:val="24"/>
        </w:rPr>
        <w:t>inferior</w:t>
      </w:r>
      <w:r>
        <w:rPr>
          <w:szCs w:val="24"/>
        </w:rPr>
        <w:t xml:space="preserve"> - </w:t>
      </w:r>
      <w:r w:rsidRPr="009836B9">
        <w:rPr>
          <w:szCs w:val="24"/>
          <w:shd w:val="clear" w:color="auto" w:fill="FFFFFF"/>
        </w:rPr>
        <w:t>surface of the substantia innominata</w:t>
      </w:r>
      <w:r w:rsidR="00D76D20">
        <w:rPr>
          <w:szCs w:val="24"/>
          <w:shd w:val="clear" w:color="auto" w:fill="FFFFFF"/>
        </w:rPr>
        <w:t xml:space="preserve"> (</w:t>
      </w:r>
      <w:r w:rsidR="00D76D20" w:rsidRPr="00D856AA">
        <w:t>13 mm ventral from the superior edge of the anterior commissure at the midline</w:t>
      </w:r>
      <w:r w:rsidR="00D76D20">
        <w:t>?)</w:t>
      </w:r>
      <w:r w:rsidR="0041602F">
        <w:t>.</w:t>
      </w:r>
    </w:p>
    <w:p w:rsidR="00D76D20" w:rsidRDefault="00FE0A81" w:rsidP="00D76D20">
      <w:r w:rsidRPr="0041602F">
        <w:rPr>
          <w:b/>
          <w:szCs w:val="24"/>
        </w:rPr>
        <w:t>anterior</w:t>
      </w:r>
      <w:r w:rsidR="00D76D20" w:rsidRPr="0041602F">
        <w:rPr>
          <w:b/>
          <w:szCs w:val="24"/>
        </w:rPr>
        <w:t xml:space="preserve">, </w:t>
      </w:r>
      <w:r w:rsidRPr="0041602F">
        <w:rPr>
          <w:b/>
          <w:szCs w:val="24"/>
        </w:rPr>
        <w:t>posterior</w:t>
      </w:r>
      <w:r w:rsidR="00D76D20">
        <w:rPr>
          <w:szCs w:val="24"/>
        </w:rPr>
        <w:t xml:space="preserve"> - </w:t>
      </w:r>
      <w:r w:rsidR="00D76D20" w:rsidRPr="00D856AA">
        <w:t>6 mm anterior and 12 mm posterior from the middle of the anterior commissure</w:t>
      </w:r>
      <w:r w:rsidR="0041602F">
        <w:t>.</w:t>
      </w:r>
    </w:p>
    <w:p w:rsidR="00A207A1" w:rsidRDefault="00A207A1" w:rsidP="00A207A1">
      <w:pPr>
        <w:ind w:left="720"/>
      </w:pPr>
      <w:r>
        <w:t>Our protocol for study: 4 mm anterior (2 AC widths) to AC; posterior – anterior border of mammillary body</w:t>
      </w:r>
      <w:r w:rsidR="009221E3">
        <w:t>.</w:t>
      </w:r>
    </w:p>
    <w:p w:rsidR="009221E3" w:rsidRDefault="009221E3" w:rsidP="00A207A1">
      <w:pPr>
        <w:ind w:left="720"/>
      </w:pPr>
      <w:r w:rsidRPr="009221E3">
        <w:t>NBM is ext</w:t>
      </w:r>
      <w:r w:rsidR="00556365">
        <w:t>ending from the olfactory tuber</w:t>
      </w:r>
      <w:r w:rsidRPr="009221E3">
        <w:t>cle anteriorly to the level of the uncal hippocampus at its most</w:t>
      </w:r>
      <w:r>
        <w:t xml:space="preserve"> </w:t>
      </w:r>
      <w:r w:rsidRPr="009221E3">
        <w:t>caudal extent, spanning a distance of 13–14 mm in the sagittal</w:t>
      </w:r>
      <w:r>
        <w:t xml:space="preserve"> plane</w:t>
      </w:r>
      <w:r w:rsidR="00556365">
        <w:t xml:space="preserve">. NBM </w:t>
      </w:r>
      <w:r w:rsidR="00556365" w:rsidRPr="00556365">
        <w:t>reaches its greatest cross-sectional diameter under the</w:t>
      </w:r>
      <w:r w:rsidR="00556365">
        <w:t xml:space="preserve"> </w:t>
      </w:r>
      <w:r w:rsidR="00556365" w:rsidRPr="00556365">
        <w:t>anterior commissure in a region</w:t>
      </w:r>
      <w:r w:rsidR="00556365">
        <w:t xml:space="preserve"> known as the substantia innomi</w:t>
      </w:r>
      <w:r w:rsidR="00556365" w:rsidRPr="00556365">
        <w:t xml:space="preserve">nata, with a </w:t>
      </w:r>
      <w:r w:rsidR="00070E88">
        <w:t>medio-lateral width of 16–18 mm</w:t>
      </w:r>
      <w:r>
        <w:t>.</w:t>
      </w:r>
      <w:r w:rsidR="00070E88">
        <w:t xml:space="preserve"> </w:t>
      </w:r>
      <w:r w:rsidR="00070E88" w:rsidRPr="00070E88">
        <w:t>In its anterior portion the nucleus is limited inferiorly by the</w:t>
      </w:r>
      <w:r w:rsidR="00070E88">
        <w:t xml:space="preserve"> </w:t>
      </w:r>
      <w:r w:rsidR="00070E88" w:rsidRPr="00070E88">
        <w:t>horizontal limb of the nucleus of the</w:t>
      </w:r>
      <w:r w:rsidR="00246000">
        <w:t xml:space="preserve"> diagonal band of Broca, supero</w:t>
      </w:r>
      <w:r w:rsidR="00070E88" w:rsidRPr="00070E88">
        <w:t>medially by the ventral globus pallidus, and superolaterally by the</w:t>
      </w:r>
      <w:r w:rsidR="00070E88">
        <w:t xml:space="preserve"> </w:t>
      </w:r>
      <w:r w:rsidR="00070E88" w:rsidRPr="00070E88">
        <w:t>lateral extension of the anterior commissure (Figs. 1 and 2). In its</w:t>
      </w:r>
      <w:r w:rsidR="00070E88">
        <w:t xml:space="preserve"> </w:t>
      </w:r>
      <w:r w:rsidR="00070E88" w:rsidRPr="00070E88">
        <w:t>posterior portion it abuts the ansa le</w:t>
      </w:r>
      <w:r w:rsidR="00246000">
        <w:t>nticularis superiorly, the puta</w:t>
      </w:r>
      <w:r w:rsidR="00070E88" w:rsidRPr="00070E88">
        <w:t>men laterally, the posterior tip of the amygdala inferiorly, and the</w:t>
      </w:r>
      <w:r w:rsidR="00070E88">
        <w:t xml:space="preserve"> </w:t>
      </w:r>
      <w:r w:rsidR="00070E88" w:rsidRPr="00070E88">
        <w:t>optic tract medially</w:t>
      </w:r>
      <w:r w:rsidR="00070E88">
        <w:t>. (Mesulam and Geula,</w:t>
      </w:r>
      <w:r w:rsidR="00246000">
        <w:t xml:space="preserve"> </w:t>
      </w:r>
      <w:r w:rsidR="00070E88">
        <w:t>1988).</w:t>
      </w:r>
    </w:p>
    <w:p w:rsidR="00246000" w:rsidRDefault="00246000" w:rsidP="00246000">
      <w:pPr>
        <w:ind w:left="720"/>
      </w:pPr>
      <w:r w:rsidRPr="00246000">
        <w:t>The large neurons in the Ch4 compartment extend as far rostrally as cell aggregates underneath the nucleus accumbens</w:t>
      </w:r>
      <w:r>
        <w:t>.</w:t>
      </w:r>
    </w:p>
    <w:p w:rsidR="00A207A1" w:rsidRDefault="00A207A1" w:rsidP="00D76D20"/>
    <w:p w:rsidR="00FE0A81" w:rsidRPr="00D856AA" w:rsidRDefault="00FE0A81" w:rsidP="003755D2">
      <w:pPr>
        <w:rPr>
          <w:szCs w:val="24"/>
          <w:shd w:val="clear" w:color="auto" w:fill="FFFFFF"/>
        </w:rPr>
      </w:pPr>
      <w:r w:rsidRPr="0041602F">
        <w:rPr>
          <w:b/>
          <w:szCs w:val="24"/>
          <w:shd w:val="clear" w:color="auto" w:fill="FFFFFF"/>
        </w:rPr>
        <w:t>medial</w:t>
      </w:r>
      <w:r w:rsidRPr="00D856AA">
        <w:rPr>
          <w:szCs w:val="24"/>
          <w:shd w:val="clear" w:color="auto" w:fill="FFFFFF"/>
        </w:rPr>
        <w:t xml:space="preserve"> - </w:t>
      </w:r>
      <w:r w:rsidRPr="00432E1A">
        <w:rPr>
          <w:szCs w:val="24"/>
          <w:shd w:val="clear" w:color="auto" w:fill="FFFFFF"/>
        </w:rPr>
        <w:t xml:space="preserve">anterior portion of </w:t>
      </w:r>
      <w:r w:rsidRPr="00D856AA">
        <w:rPr>
          <w:szCs w:val="24"/>
          <w:shd w:val="clear" w:color="auto" w:fill="FFFFFF"/>
        </w:rPr>
        <w:t>hypothalamus</w:t>
      </w:r>
      <w:r w:rsidR="00D856AA" w:rsidRPr="00D856AA">
        <w:rPr>
          <w:szCs w:val="24"/>
          <w:shd w:val="clear" w:color="auto" w:fill="FFFFFF"/>
        </w:rPr>
        <w:t xml:space="preserve"> (25 mm lateral from the midline)</w:t>
      </w:r>
      <w:r w:rsidR="0041602F">
        <w:rPr>
          <w:szCs w:val="24"/>
          <w:shd w:val="clear" w:color="auto" w:fill="FFFFFF"/>
        </w:rPr>
        <w:t>.</w:t>
      </w:r>
    </w:p>
    <w:p w:rsidR="00FE0A81" w:rsidRDefault="00FE0A81" w:rsidP="003755D2">
      <w:r w:rsidRPr="0041602F">
        <w:rPr>
          <w:b/>
          <w:szCs w:val="24"/>
        </w:rPr>
        <w:t>lateral</w:t>
      </w:r>
      <w:r w:rsidR="0041602F">
        <w:rPr>
          <w:szCs w:val="24"/>
        </w:rPr>
        <w:t xml:space="preserve"> – lateral edge of GPe.</w:t>
      </w:r>
    </w:p>
    <w:p w:rsidR="00FE0A81" w:rsidRDefault="00FE0A81" w:rsidP="003755D2"/>
    <w:p w:rsidR="00CC4750" w:rsidRDefault="00CC4750" w:rsidP="00CC4750">
      <w:pPr>
        <w:rPr>
          <w:rFonts w:asciiTheme="minorHAnsi" w:hAnsiTheme="minorHAnsi" w:cstheme="minorBidi"/>
          <w:color w:val="1F497D"/>
          <w:sz w:val="22"/>
          <w:szCs w:val="22"/>
        </w:rPr>
      </w:pPr>
      <w:r>
        <w:rPr>
          <w:rFonts w:asciiTheme="minorHAnsi" w:hAnsiTheme="minorHAnsi" w:cstheme="minorBidi"/>
          <w:color w:val="1F497D"/>
          <w:sz w:val="22"/>
          <w:szCs w:val="22"/>
        </w:rPr>
        <w:t>For NBM segmentation we are using the following anatomical borders:</w:t>
      </w:r>
    </w:p>
    <w:p w:rsidR="00CC4750" w:rsidRDefault="00CC4750" w:rsidP="00CC4750">
      <w:pPr>
        <w:ind w:left="720"/>
        <w:rPr>
          <w:rFonts w:asciiTheme="minorHAnsi" w:hAnsiTheme="minorHAnsi" w:cstheme="minorBidi"/>
          <w:color w:val="1F497D"/>
          <w:sz w:val="22"/>
          <w:szCs w:val="22"/>
        </w:rPr>
      </w:pPr>
      <w:r>
        <w:rPr>
          <w:rFonts w:asciiTheme="minorHAnsi" w:hAnsiTheme="minorHAnsi" w:cstheme="minorBidi"/>
          <w:color w:val="1F497D"/>
          <w:sz w:val="22"/>
          <w:szCs w:val="22"/>
        </w:rPr>
        <w:t>superior - inferior margin of subcommissural part of the globus pallidus</w:t>
      </w:r>
    </w:p>
    <w:p w:rsidR="00CC4750" w:rsidRDefault="00CC4750" w:rsidP="00CC4750">
      <w:pPr>
        <w:ind w:left="720"/>
        <w:rPr>
          <w:rFonts w:asciiTheme="minorHAnsi" w:hAnsiTheme="minorHAnsi" w:cstheme="minorBidi"/>
          <w:color w:val="1F497D"/>
          <w:sz w:val="22"/>
          <w:szCs w:val="22"/>
        </w:rPr>
      </w:pPr>
      <w:r>
        <w:rPr>
          <w:rFonts w:asciiTheme="minorHAnsi" w:hAnsiTheme="minorHAnsi" w:cstheme="minorBidi"/>
          <w:color w:val="1F497D"/>
          <w:sz w:val="22"/>
          <w:szCs w:val="22"/>
        </w:rPr>
        <w:t>inferior – pial (basal) surface of the brain.</w:t>
      </w:r>
    </w:p>
    <w:p w:rsidR="00CC4750" w:rsidRDefault="00CC4750" w:rsidP="00CC4750">
      <w:pPr>
        <w:ind w:left="720"/>
        <w:rPr>
          <w:rFonts w:asciiTheme="minorHAnsi" w:hAnsiTheme="minorHAnsi" w:cstheme="minorBidi"/>
          <w:color w:val="1F497D"/>
          <w:sz w:val="22"/>
          <w:szCs w:val="22"/>
        </w:rPr>
      </w:pPr>
      <w:r>
        <w:rPr>
          <w:rFonts w:asciiTheme="minorHAnsi" w:hAnsiTheme="minorHAnsi" w:cstheme="minorBidi"/>
          <w:color w:val="1F497D"/>
          <w:sz w:val="22"/>
          <w:szCs w:val="22"/>
        </w:rPr>
        <w:t>anterior – two sagittal widths of anterior commissure anterior from the center of anterior commissure</w:t>
      </w:r>
    </w:p>
    <w:p w:rsidR="00CC4750" w:rsidRDefault="00CC4750" w:rsidP="00CC4750">
      <w:pPr>
        <w:ind w:left="720"/>
        <w:rPr>
          <w:rFonts w:asciiTheme="minorHAnsi" w:hAnsiTheme="minorHAnsi" w:cstheme="minorBidi"/>
          <w:color w:val="1F497D"/>
          <w:sz w:val="22"/>
          <w:szCs w:val="22"/>
        </w:rPr>
      </w:pPr>
      <w:r>
        <w:rPr>
          <w:rFonts w:asciiTheme="minorHAnsi" w:hAnsiTheme="minorHAnsi" w:cstheme="minorBidi"/>
          <w:color w:val="1F497D"/>
          <w:sz w:val="22"/>
          <w:szCs w:val="22"/>
        </w:rPr>
        <w:t>posterior – anterior border of mammillary bodies</w:t>
      </w:r>
    </w:p>
    <w:p w:rsidR="00CC4750" w:rsidRDefault="00CC4750" w:rsidP="00CC4750">
      <w:pPr>
        <w:ind w:left="720"/>
        <w:rPr>
          <w:rFonts w:asciiTheme="minorHAnsi" w:hAnsiTheme="minorHAnsi" w:cstheme="minorBidi"/>
          <w:color w:val="1F497D"/>
          <w:sz w:val="22"/>
          <w:szCs w:val="22"/>
        </w:rPr>
      </w:pPr>
      <w:r>
        <w:rPr>
          <w:rFonts w:asciiTheme="minorHAnsi" w:hAnsiTheme="minorHAnsi" w:cstheme="minorBidi"/>
          <w:color w:val="1F497D"/>
          <w:sz w:val="22"/>
          <w:szCs w:val="22"/>
        </w:rPr>
        <w:t>medial – medial border of the globus pallidus</w:t>
      </w:r>
    </w:p>
    <w:p w:rsidR="00CC4750" w:rsidRDefault="00CC4750" w:rsidP="00CC4750">
      <w:pPr>
        <w:ind w:left="720"/>
        <w:rPr>
          <w:rFonts w:asciiTheme="minorHAnsi" w:hAnsiTheme="minorHAnsi" w:cstheme="minorBidi"/>
          <w:color w:val="1F497D"/>
          <w:sz w:val="22"/>
          <w:szCs w:val="22"/>
        </w:rPr>
      </w:pPr>
      <w:r>
        <w:rPr>
          <w:rFonts w:asciiTheme="minorHAnsi" w:hAnsiTheme="minorHAnsi" w:cstheme="minorBidi"/>
          <w:color w:val="1F497D"/>
          <w:sz w:val="22"/>
          <w:szCs w:val="22"/>
        </w:rPr>
        <w:t>lateral – lateral edge of globus pallidus but sometimes it extends as far as putamen</w:t>
      </w:r>
    </w:p>
    <w:p w:rsidR="00D856AA" w:rsidRDefault="00D856AA" w:rsidP="003755D2"/>
    <w:p w:rsidR="00D856AA" w:rsidRDefault="00D856AA" w:rsidP="003755D2"/>
    <w:p w:rsidR="00FE0A81" w:rsidRDefault="00FE0A81" w:rsidP="003755D2"/>
    <w:p w:rsidR="003755D2" w:rsidRDefault="00432E1A" w:rsidP="003755D2">
      <w:r>
        <w:rPr>
          <w:noProof/>
        </w:rPr>
        <w:drawing>
          <wp:inline distT="0" distB="0" distL="0" distR="0">
            <wp:extent cx="3400425" cy="3295650"/>
            <wp:effectExtent l="0" t="0" r="9525" b="0"/>
            <wp:docPr id="3" name="Picture 3" descr="https://upload.wikimedia.org/wikipedia/commons/3/36/Substantia_innominata_M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3/36/Substantia_innominata_MRI.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00425" cy="3295650"/>
                    </a:xfrm>
                    <a:prstGeom prst="rect">
                      <a:avLst/>
                    </a:prstGeom>
                    <a:noFill/>
                    <a:ln>
                      <a:noFill/>
                    </a:ln>
                  </pic:spPr>
                </pic:pic>
              </a:graphicData>
            </a:graphic>
          </wp:inline>
        </w:drawing>
      </w:r>
    </w:p>
    <w:p w:rsidR="00432E1A" w:rsidRDefault="00432E1A" w:rsidP="003755D2"/>
    <w:p w:rsidR="00432E1A" w:rsidRDefault="00432E1A" w:rsidP="003755D2"/>
    <w:p w:rsidR="00AD5164" w:rsidRDefault="00AD5164" w:rsidP="003755D2">
      <w:r>
        <w:rPr>
          <w:noProof/>
        </w:rPr>
        <w:drawing>
          <wp:inline distT="0" distB="0" distL="0" distR="0" wp14:anchorId="275F0A66" wp14:editId="12D17F35">
            <wp:extent cx="6300470" cy="232791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00470" cy="2327910"/>
                    </a:xfrm>
                    <a:prstGeom prst="rect">
                      <a:avLst/>
                    </a:prstGeom>
                  </pic:spPr>
                </pic:pic>
              </a:graphicData>
            </a:graphic>
          </wp:inline>
        </w:drawing>
      </w:r>
    </w:p>
    <w:p w:rsidR="00AD5164" w:rsidRDefault="00AD5164" w:rsidP="00AD5164">
      <w:pPr>
        <w:jc w:val="right"/>
      </w:pPr>
      <w:r>
        <w:t>Zaborszky 2008</w:t>
      </w:r>
    </w:p>
    <w:p w:rsidR="00AD5164" w:rsidRDefault="00AD5164" w:rsidP="003755D2"/>
    <w:p w:rsidR="00FD58E5" w:rsidRDefault="00AD5164" w:rsidP="00AD5164">
      <w:pPr>
        <w:rPr>
          <w:szCs w:val="24"/>
        </w:rPr>
      </w:pPr>
      <w:r w:rsidRPr="00AD5164">
        <w:rPr>
          <w:szCs w:val="24"/>
        </w:rPr>
        <w:t xml:space="preserve">the reference space of the </w:t>
      </w:r>
      <w:r w:rsidRPr="00FD58E5">
        <w:rPr>
          <w:b/>
          <w:szCs w:val="24"/>
          <w:u w:val="single"/>
        </w:rPr>
        <w:t>Montreal Neurological Instit</w:t>
      </w:r>
      <w:r w:rsidR="00FD58E5" w:rsidRPr="00FD58E5">
        <w:rPr>
          <w:b/>
          <w:szCs w:val="24"/>
          <w:u w:val="single"/>
        </w:rPr>
        <w:t>ute (MNI)</w:t>
      </w:r>
      <w:r w:rsidR="00FD58E5">
        <w:rPr>
          <w:szCs w:val="24"/>
        </w:rPr>
        <w:t xml:space="preserve"> single subject brain:</w:t>
      </w:r>
    </w:p>
    <w:p w:rsidR="00AD5164" w:rsidRPr="00AD5164" w:rsidRDefault="00AD5164" w:rsidP="00FD58E5">
      <w:pPr>
        <w:ind w:left="1440"/>
        <w:rPr>
          <w:szCs w:val="24"/>
        </w:rPr>
      </w:pPr>
      <w:r w:rsidRPr="00AD5164">
        <w:rPr>
          <w:szCs w:val="24"/>
        </w:rPr>
        <w:t>Collins, D.L., Neelin, P., Peters, T.M., Evans, A.C., 1994. Automatic 3D intersubject</w:t>
      </w:r>
    </w:p>
    <w:p w:rsidR="00AD5164" w:rsidRPr="00AD5164" w:rsidRDefault="00AD5164" w:rsidP="00FD58E5">
      <w:pPr>
        <w:ind w:left="1440"/>
        <w:rPr>
          <w:szCs w:val="24"/>
        </w:rPr>
      </w:pPr>
      <w:r w:rsidRPr="00AD5164">
        <w:rPr>
          <w:szCs w:val="24"/>
        </w:rPr>
        <w:t>registration of MR volumetric data in standardized Talairach space. J. Comput.</w:t>
      </w:r>
    </w:p>
    <w:p w:rsidR="00AD5164" w:rsidRDefault="00AD5164" w:rsidP="00FD58E5">
      <w:pPr>
        <w:ind w:left="1440"/>
        <w:rPr>
          <w:szCs w:val="24"/>
        </w:rPr>
      </w:pPr>
      <w:r w:rsidRPr="00AD5164">
        <w:rPr>
          <w:szCs w:val="24"/>
        </w:rPr>
        <w:t>Assist. Tomogr. 18, 192–205.</w:t>
      </w:r>
    </w:p>
    <w:p w:rsidR="00FD58E5" w:rsidRDefault="00FD58E5" w:rsidP="00FD58E5">
      <w:pPr>
        <w:ind w:left="1440"/>
        <w:rPr>
          <w:szCs w:val="24"/>
        </w:rPr>
      </w:pPr>
    </w:p>
    <w:p w:rsidR="00FD58E5" w:rsidRDefault="00FD58E5" w:rsidP="00FD58E5">
      <w:pPr>
        <w:ind w:left="1440"/>
        <w:rPr>
          <w:szCs w:val="24"/>
        </w:rPr>
      </w:pPr>
      <w:r w:rsidRPr="00FD58E5">
        <w:rPr>
          <w:szCs w:val="24"/>
        </w:rPr>
        <w:t>Holmes, C.J., Hoge, R., Collins, L., Woods, R., Toga, A.W., Evans, A.C., 1998. Enhancement</w:t>
      </w:r>
      <w:r>
        <w:rPr>
          <w:szCs w:val="24"/>
        </w:rPr>
        <w:t xml:space="preserve"> </w:t>
      </w:r>
      <w:r w:rsidRPr="00FD58E5">
        <w:rPr>
          <w:szCs w:val="24"/>
        </w:rPr>
        <w:t>of MR images using registration for signal averaging. J. Comput. Assist. Tomogr. 22,</w:t>
      </w:r>
      <w:r>
        <w:rPr>
          <w:szCs w:val="24"/>
        </w:rPr>
        <w:t xml:space="preserve"> </w:t>
      </w:r>
      <w:r w:rsidRPr="00FD58E5">
        <w:rPr>
          <w:szCs w:val="24"/>
        </w:rPr>
        <w:t>324–333.</w:t>
      </w:r>
    </w:p>
    <w:p w:rsidR="00FD58E5" w:rsidRPr="00AD5164" w:rsidRDefault="00FD58E5" w:rsidP="00FD58E5">
      <w:pPr>
        <w:ind w:left="1440"/>
        <w:rPr>
          <w:szCs w:val="24"/>
        </w:rPr>
      </w:pPr>
    </w:p>
    <w:p w:rsidR="00AD5164" w:rsidRDefault="00AD5164" w:rsidP="003755D2"/>
    <w:p w:rsidR="00DD7425" w:rsidRDefault="00C14326" w:rsidP="00C14326">
      <w:pPr>
        <w:pStyle w:val="Nervous6"/>
        <w:ind w:right="6322"/>
      </w:pPr>
      <w:bookmarkStart w:id="6" w:name="_Toc6655870"/>
      <w:r>
        <w:t>Subnuclei of basal forebrain</w:t>
      </w:r>
      <w:bookmarkEnd w:id="6"/>
    </w:p>
    <w:p w:rsidR="00C14326" w:rsidRDefault="00C14326" w:rsidP="00C14326">
      <w:pPr>
        <w:pStyle w:val="ListParagraph"/>
        <w:numPr>
          <w:ilvl w:val="0"/>
          <w:numId w:val="8"/>
        </w:numPr>
      </w:pPr>
      <w:r w:rsidRPr="00C14326">
        <w:t>Ch4al region has the strongest connections to wide-spread cortical areas in the human brain [Mesulam and Geula, 1988; Selden et al., 1998].</w:t>
      </w:r>
    </w:p>
    <w:p w:rsidR="00C14326" w:rsidRDefault="00C14326" w:rsidP="00C14326">
      <w:pPr>
        <w:pStyle w:val="ListParagraph"/>
        <w:numPr>
          <w:ilvl w:val="0"/>
          <w:numId w:val="8"/>
        </w:numPr>
      </w:pPr>
      <w:r>
        <w:t xml:space="preserve">Teipel (2011) </w:t>
      </w:r>
      <w:r w:rsidRPr="0091078C">
        <w:t>study suggests a sequence of atroph</w:t>
      </w:r>
      <w:r>
        <w:t>y from Ch4al to Ch4am and Ch2/3;</w:t>
      </w:r>
    </w:p>
    <w:p w:rsidR="00C14326" w:rsidRDefault="00C14326" w:rsidP="00C14326"/>
    <w:p w:rsidR="00891A2F" w:rsidRDefault="00CB560A" w:rsidP="003755D2">
      <w:r w:rsidRPr="00891A2F">
        <w:rPr>
          <w:u w:val="single"/>
        </w:rPr>
        <w:t xml:space="preserve">Anatomy </w:t>
      </w:r>
      <w:r w:rsidR="00891A2F" w:rsidRPr="00891A2F">
        <w:rPr>
          <w:u w:val="single"/>
        </w:rPr>
        <w:t>of the basal forebrain complex</w:t>
      </w:r>
      <w:r w:rsidR="00891A2F">
        <w:t>.</w:t>
      </w:r>
    </w:p>
    <w:p w:rsidR="00CB560A" w:rsidRDefault="00CB560A" w:rsidP="003755D2">
      <w:r w:rsidRPr="00CB560A">
        <w:t>3D-reconstruction of the basal forebrain complex (BFC–view from anterior) from the brain of a 29-year-old man who had died of pulmonary arrest [Grinberg and Heinsen, 2007]. The BFC is located within the substantia innominata that is delimited by the caudal rim of the ventral striatum, the ventral pallidum, the ventral parts of the internal capsule and the regions medial to the outlines of the anterior commissure. The BCF can be subdivided into four cell groups arranged in an arch-like path mainly b</w:t>
      </w:r>
      <w:r>
        <w:t>eneath the anterior commissure:</w:t>
      </w:r>
    </w:p>
    <w:p w:rsidR="003A5263" w:rsidRDefault="003A5263" w:rsidP="003755D2"/>
    <w:p w:rsidR="00CB560A" w:rsidRDefault="00CB560A" w:rsidP="003755D2">
      <w:r>
        <w:t xml:space="preserve">Ch1 </w:t>
      </w:r>
      <w:r w:rsidR="00AF48B0">
        <w:t>-</w:t>
      </w:r>
      <w:r>
        <w:t xml:space="preserve"> medial septal nucleus</w:t>
      </w:r>
    </w:p>
    <w:p w:rsidR="003A5263" w:rsidRDefault="003A5263" w:rsidP="003755D2"/>
    <w:p w:rsidR="00AF48B0" w:rsidRDefault="00CB560A" w:rsidP="003755D2">
      <w:r w:rsidRPr="00CB560A">
        <w:t xml:space="preserve">Ch2 </w:t>
      </w:r>
      <w:r w:rsidR="00AF48B0">
        <w:t>-</w:t>
      </w:r>
      <w:r w:rsidRPr="00CB560A">
        <w:t xml:space="preserve"> </w:t>
      </w:r>
      <w:r w:rsidR="00AF48B0" w:rsidRPr="00CB560A">
        <w:t>nucleus of vertical limb of the diagonal band of Broca</w:t>
      </w:r>
      <w:r w:rsidR="00AF48B0">
        <w:t>.</w:t>
      </w:r>
    </w:p>
    <w:p w:rsidR="00AF48B0" w:rsidRDefault="00AF48B0" w:rsidP="00AF48B0">
      <w:pPr>
        <w:ind w:left="1440"/>
      </w:pPr>
      <w:r w:rsidRPr="00AF48B0">
        <w:t>Ch1–2</w:t>
      </w:r>
      <w:r>
        <w:t xml:space="preserve"> are called </w:t>
      </w:r>
      <w:r w:rsidRPr="00AF48B0">
        <w:t>magnocellular</w:t>
      </w:r>
      <w:r>
        <w:t xml:space="preserve"> cell groups within the septum.</w:t>
      </w:r>
    </w:p>
    <w:p w:rsidR="00AF48B0" w:rsidRDefault="00AF48B0" w:rsidP="003755D2"/>
    <w:p w:rsidR="00CB560A" w:rsidRDefault="00CB560A" w:rsidP="003755D2">
      <w:r w:rsidRPr="00CB560A">
        <w:t xml:space="preserve">Ch3 </w:t>
      </w:r>
      <w:r w:rsidR="00AF48B0">
        <w:t>-</w:t>
      </w:r>
      <w:r w:rsidRPr="00CB560A">
        <w:t xml:space="preserve"> nucleus of horizontal lim</w:t>
      </w:r>
      <w:r w:rsidR="00AF48B0">
        <w:t>b of the diagonal band of Broca</w:t>
      </w:r>
      <w:r w:rsidRPr="00CB560A">
        <w:t xml:space="preserve">; </w:t>
      </w:r>
    </w:p>
    <w:p w:rsidR="003A5263" w:rsidRDefault="003A5263" w:rsidP="003755D2"/>
    <w:p w:rsidR="00CB560A" w:rsidRDefault="00CB560A" w:rsidP="003755D2">
      <w:r w:rsidRPr="00CB560A">
        <w:t xml:space="preserve">Ch4 also called as the nucleus basalis of </w:t>
      </w:r>
      <w:r w:rsidR="00BB2FD6">
        <w:t>Meynert [Mesulam et al., 1983] or</w:t>
      </w:r>
      <w:r w:rsidR="00BB2FD6" w:rsidRPr="00BB2FD6">
        <w:t xml:space="preserve"> sublenticular part of the basal forebrain</w:t>
      </w:r>
      <w:r w:rsidR="00BB2FD6">
        <w:t xml:space="preserve"> [Zaborsky 2008]</w:t>
      </w:r>
      <w:r w:rsidR="00AF48B0">
        <w:t>.</w:t>
      </w:r>
    </w:p>
    <w:p w:rsidR="003A5263" w:rsidRDefault="003A5263" w:rsidP="003755D2"/>
    <w:p w:rsidR="003A5263" w:rsidRDefault="00CB560A" w:rsidP="003755D2">
      <w:r w:rsidRPr="00CB560A">
        <w:t xml:space="preserve">The nucleus subputaminalis, also called Ayala’s nucleus, has only been described in the human brain so far [Heinsen et </w:t>
      </w:r>
      <w:r w:rsidR="003A5263">
        <w:t>al., 2006; Simic et al., 1999].</w:t>
      </w:r>
    </w:p>
    <w:p w:rsidR="003A5263" w:rsidRDefault="003A5263" w:rsidP="003755D2"/>
    <w:p w:rsidR="003A5263" w:rsidRDefault="003A5263" w:rsidP="003755D2"/>
    <w:p w:rsidR="00DD7425" w:rsidRPr="00CB560A" w:rsidRDefault="00CB560A" w:rsidP="003755D2">
      <w:r w:rsidRPr="00CB560A">
        <w:t>The volume of the BFC in the human brain varies from 58 to 154 mm3 [Grinberg and Heinsen, 2007; Halliday et al., 1993].</w:t>
      </w:r>
    </w:p>
    <w:p w:rsidR="00DD7425" w:rsidRDefault="00CB560A" w:rsidP="003755D2">
      <w:r w:rsidRPr="00CB560A">
        <w:rPr>
          <w:noProof/>
        </w:rPr>
        <w:drawing>
          <wp:inline distT="0" distB="0" distL="0" distR="0">
            <wp:extent cx="6300470" cy="3114483"/>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0470" cy="3114483"/>
                    </a:xfrm>
                    <a:prstGeom prst="rect">
                      <a:avLst/>
                    </a:prstGeom>
                    <a:noFill/>
                    <a:ln>
                      <a:noFill/>
                    </a:ln>
                  </pic:spPr>
                </pic:pic>
              </a:graphicData>
            </a:graphic>
          </wp:inline>
        </w:drawing>
      </w:r>
    </w:p>
    <w:p w:rsidR="00CB560A" w:rsidRDefault="00CB560A" w:rsidP="003755D2"/>
    <w:p w:rsidR="00DD7425" w:rsidRDefault="00DD7425" w:rsidP="003755D2"/>
    <w:p w:rsidR="007F2644" w:rsidRPr="007F2644" w:rsidRDefault="007F2644" w:rsidP="003755D2">
      <w:pPr>
        <w:rPr>
          <w:u w:val="single"/>
        </w:rPr>
      </w:pPr>
      <w:r w:rsidRPr="007F2644">
        <w:rPr>
          <w:u w:val="single"/>
        </w:rPr>
        <w:t>Talairach-Tournoux x/y/z coordinates</w:t>
      </w:r>
    </w:p>
    <w:p w:rsidR="007F2644" w:rsidRDefault="007F2644" w:rsidP="003755D2"/>
    <w:tbl>
      <w:tblPr>
        <w:tblStyle w:val="TableGrid"/>
        <w:tblW w:w="0" w:type="auto"/>
        <w:tblLook w:val="04A0" w:firstRow="1" w:lastRow="0" w:firstColumn="1" w:lastColumn="0" w:noHBand="0" w:noVBand="1"/>
      </w:tblPr>
      <w:tblGrid>
        <w:gridCol w:w="4045"/>
        <w:gridCol w:w="2160"/>
        <w:gridCol w:w="2520"/>
      </w:tblGrid>
      <w:tr w:rsidR="007F2644" w:rsidRPr="007F2644" w:rsidTr="00316CF3">
        <w:tc>
          <w:tcPr>
            <w:tcW w:w="4045" w:type="dxa"/>
          </w:tcPr>
          <w:p w:rsidR="007F2644" w:rsidRPr="007F2644" w:rsidRDefault="007F2644" w:rsidP="007F2644">
            <w:pPr>
              <w:jc w:val="center"/>
              <w:rPr>
                <w:b/>
              </w:rPr>
            </w:pPr>
            <w:r w:rsidRPr="007F2644">
              <w:rPr>
                <w:b/>
              </w:rPr>
              <w:t>Subnucleus</w:t>
            </w:r>
          </w:p>
        </w:tc>
        <w:tc>
          <w:tcPr>
            <w:tcW w:w="2160" w:type="dxa"/>
          </w:tcPr>
          <w:p w:rsidR="007F2644" w:rsidRPr="007F2644" w:rsidRDefault="007F2644" w:rsidP="007F2644">
            <w:pPr>
              <w:jc w:val="center"/>
              <w:rPr>
                <w:b/>
              </w:rPr>
            </w:pPr>
            <w:r w:rsidRPr="007F2644">
              <w:rPr>
                <w:b/>
              </w:rPr>
              <w:t>Right</w:t>
            </w:r>
          </w:p>
        </w:tc>
        <w:tc>
          <w:tcPr>
            <w:tcW w:w="2520" w:type="dxa"/>
          </w:tcPr>
          <w:p w:rsidR="007F2644" w:rsidRPr="007F2644" w:rsidRDefault="007F2644" w:rsidP="007F2644">
            <w:pPr>
              <w:jc w:val="center"/>
              <w:rPr>
                <w:b/>
              </w:rPr>
            </w:pPr>
            <w:r w:rsidRPr="007F2644">
              <w:rPr>
                <w:b/>
              </w:rPr>
              <w:t>Left</w:t>
            </w:r>
          </w:p>
        </w:tc>
      </w:tr>
      <w:tr w:rsidR="007F2644" w:rsidTr="00316CF3">
        <w:tc>
          <w:tcPr>
            <w:tcW w:w="4045" w:type="dxa"/>
          </w:tcPr>
          <w:p w:rsidR="007F2644" w:rsidRDefault="007F2644" w:rsidP="003755D2">
            <w:r w:rsidRPr="007F2644">
              <w:t>Ch2/3</w:t>
            </w:r>
          </w:p>
        </w:tc>
        <w:tc>
          <w:tcPr>
            <w:tcW w:w="2160" w:type="dxa"/>
          </w:tcPr>
          <w:p w:rsidR="007F2644" w:rsidRDefault="007F2644" w:rsidP="003755D2"/>
        </w:tc>
        <w:tc>
          <w:tcPr>
            <w:tcW w:w="2520" w:type="dxa"/>
          </w:tcPr>
          <w:p w:rsidR="007F2644" w:rsidRDefault="007F2644" w:rsidP="003755D2">
            <w:r>
              <w:t>-5/6/-8</w:t>
            </w:r>
          </w:p>
        </w:tc>
      </w:tr>
      <w:tr w:rsidR="007F2644" w:rsidTr="00316CF3">
        <w:tc>
          <w:tcPr>
            <w:tcW w:w="4045" w:type="dxa"/>
          </w:tcPr>
          <w:p w:rsidR="007F2644" w:rsidRDefault="007F2644" w:rsidP="003755D2">
            <w:r w:rsidRPr="007F2644">
              <w:t>Ch4am</w:t>
            </w:r>
          </w:p>
        </w:tc>
        <w:tc>
          <w:tcPr>
            <w:tcW w:w="2160" w:type="dxa"/>
          </w:tcPr>
          <w:p w:rsidR="007F2644" w:rsidRDefault="007F2644" w:rsidP="003755D2">
            <w:r>
              <w:t>12/4/-10</w:t>
            </w:r>
          </w:p>
        </w:tc>
        <w:tc>
          <w:tcPr>
            <w:tcW w:w="2520" w:type="dxa"/>
          </w:tcPr>
          <w:p w:rsidR="007F2644" w:rsidRDefault="007F2644" w:rsidP="003755D2"/>
        </w:tc>
      </w:tr>
      <w:tr w:rsidR="007F2644" w:rsidTr="00316CF3">
        <w:tc>
          <w:tcPr>
            <w:tcW w:w="4045" w:type="dxa"/>
          </w:tcPr>
          <w:p w:rsidR="007F2644" w:rsidRDefault="00316CF3" w:rsidP="00316CF3">
            <w:r w:rsidRPr="007F2644">
              <w:t>Ch4al</w:t>
            </w:r>
            <w:r w:rsidRPr="00316CF3">
              <w:t xml:space="preserve"> (lateral subst. innominata)</w:t>
            </w:r>
          </w:p>
        </w:tc>
        <w:tc>
          <w:tcPr>
            <w:tcW w:w="2160" w:type="dxa"/>
          </w:tcPr>
          <w:p w:rsidR="007F2644" w:rsidRDefault="007F2644" w:rsidP="003755D2">
            <w:r>
              <w:t>2</w:t>
            </w:r>
            <w:r w:rsidR="00316CF3">
              <w:t>2 / 3-4 /-</w:t>
            </w:r>
            <w:r w:rsidRPr="007F2644">
              <w:t>7</w:t>
            </w:r>
            <w:r w:rsidR="00316CF3">
              <w:t xml:space="preserve"> to -10</w:t>
            </w:r>
          </w:p>
        </w:tc>
        <w:tc>
          <w:tcPr>
            <w:tcW w:w="2520" w:type="dxa"/>
          </w:tcPr>
          <w:p w:rsidR="007F2644" w:rsidRDefault="007F2644" w:rsidP="007F2644">
            <w:r>
              <w:t>-</w:t>
            </w:r>
            <w:r w:rsidRPr="007F2644">
              <w:t>17/5/</w:t>
            </w:r>
            <w:r>
              <w:t>-</w:t>
            </w:r>
            <w:r w:rsidRPr="007F2644">
              <w:t>7</w:t>
            </w:r>
          </w:p>
        </w:tc>
      </w:tr>
      <w:tr w:rsidR="00316CF3" w:rsidTr="00316CF3">
        <w:tc>
          <w:tcPr>
            <w:tcW w:w="4045" w:type="dxa"/>
          </w:tcPr>
          <w:p w:rsidR="00316CF3" w:rsidRPr="007F2644" w:rsidRDefault="00316CF3" w:rsidP="00316CF3">
            <w:r w:rsidRPr="00316CF3">
              <w:t xml:space="preserve">Ch4p </w:t>
            </w:r>
            <w:r>
              <w:t>(posterior subst. innominata</w:t>
            </w:r>
            <w:r w:rsidRPr="00316CF3">
              <w:t>)</w:t>
            </w:r>
          </w:p>
        </w:tc>
        <w:tc>
          <w:tcPr>
            <w:tcW w:w="2160" w:type="dxa"/>
          </w:tcPr>
          <w:p w:rsidR="00316CF3" w:rsidRDefault="00316CF3" w:rsidP="003755D2">
            <w:r>
              <w:t>24 / -11 / -8</w:t>
            </w:r>
          </w:p>
        </w:tc>
        <w:tc>
          <w:tcPr>
            <w:tcW w:w="2520" w:type="dxa"/>
          </w:tcPr>
          <w:p w:rsidR="00316CF3" w:rsidRDefault="00316CF3" w:rsidP="007F2644"/>
        </w:tc>
      </w:tr>
      <w:tr w:rsidR="00316CF3" w:rsidTr="00316CF3">
        <w:tc>
          <w:tcPr>
            <w:tcW w:w="4045" w:type="dxa"/>
          </w:tcPr>
          <w:p w:rsidR="00316CF3" w:rsidRPr="00316CF3" w:rsidRDefault="00316CF3" w:rsidP="00316CF3">
            <w:r w:rsidRPr="00316CF3">
              <w:t>Ch4i (medial subst. innominata)</w:t>
            </w:r>
          </w:p>
        </w:tc>
        <w:tc>
          <w:tcPr>
            <w:tcW w:w="2160" w:type="dxa"/>
          </w:tcPr>
          <w:p w:rsidR="00316CF3" w:rsidRDefault="00316CF3" w:rsidP="003755D2">
            <w:r>
              <w:t>4 / -2 / -7</w:t>
            </w:r>
          </w:p>
        </w:tc>
        <w:tc>
          <w:tcPr>
            <w:tcW w:w="2520" w:type="dxa"/>
          </w:tcPr>
          <w:p w:rsidR="00316CF3" w:rsidRDefault="00316CF3" w:rsidP="007F2644"/>
        </w:tc>
      </w:tr>
    </w:tbl>
    <w:p w:rsidR="007F2644" w:rsidRDefault="007F2644" w:rsidP="003755D2"/>
    <w:p w:rsidR="002A7045" w:rsidRDefault="002A7045" w:rsidP="003755D2">
      <w:r w:rsidRPr="002A7045">
        <w:t>x, the medial to lateral distance</w:t>
      </w:r>
      <w:r>
        <w:t xml:space="preserve"> relative to midline (positive = right hemisphere);</w:t>
      </w:r>
    </w:p>
    <w:p w:rsidR="002A7045" w:rsidRDefault="002A7045" w:rsidP="003755D2">
      <w:r w:rsidRPr="002A7045">
        <w:t>y, the anterior to posterior distance relative to the</w:t>
      </w:r>
      <w:r>
        <w:t xml:space="preserve"> AC (positive = anterior);</w:t>
      </w:r>
    </w:p>
    <w:p w:rsidR="002A7045" w:rsidRDefault="002A7045" w:rsidP="003755D2">
      <w:r w:rsidRPr="002A7045">
        <w:t xml:space="preserve">z, superior to inferior distance relative to the </w:t>
      </w:r>
      <w:r>
        <w:t>AC-PC</w:t>
      </w:r>
      <w:r w:rsidRPr="002A7045">
        <w:t xml:space="preserve"> line (positive </w:t>
      </w:r>
      <w:r>
        <w:t>=</w:t>
      </w:r>
      <w:r w:rsidRPr="002A7045">
        <w:t xml:space="preserve"> superior).</w:t>
      </w:r>
    </w:p>
    <w:p w:rsidR="00DD7425" w:rsidRDefault="00DD7425" w:rsidP="003755D2"/>
    <w:p w:rsidR="007F6DD6" w:rsidRDefault="007F6DD6" w:rsidP="003755D2"/>
    <w:p w:rsidR="007F6DD6" w:rsidRDefault="007F6DD6" w:rsidP="003755D2">
      <w:r>
        <w:rPr>
          <w:noProof/>
        </w:rPr>
        <w:drawing>
          <wp:inline distT="0" distB="0" distL="0" distR="0" wp14:anchorId="3BA714F4" wp14:editId="13F10DDE">
            <wp:extent cx="6300470" cy="3282315"/>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00470" cy="3282315"/>
                    </a:xfrm>
                    <a:prstGeom prst="rect">
                      <a:avLst/>
                    </a:prstGeom>
                  </pic:spPr>
                </pic:pic>
              </a:graphicData>
            </a:graphic>
          </wp:inline>
        </w:drawing>
      </w:r>
    </w:p>
    <w:p w:rsidR="007F6DD6" w:rsidRDefault="007F6DD6" w:rsidP="003755D2">
      <w:r>
        <w:rPr>
          <w:noProof/>
        </w:rPr>
        <w:drawing>
          <wp:inline distT="0" distB="0" distL="0" distR="0" wp14:anchorId="2D8740A8" wp14:editId="20E3AC50">
            <wp:extent cx="6276975" cy="24765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76975" cy="2476500"/>
                    </a:xfrm>
                    <a:prstGeom prst="rect">
                      <a:avLst/>
                    </a:prstGeom>
                  </pic:spPr>
                </pic:pic>
              </a:graphicData>
            </a:graphic>
          </wp:inline>
        </w:drawing>
      </w:r>
    </w:p>
    <w:p w:rsidR="007F6DD6" w:rsidRDefault="007F6DD6" w:rsidP="007F6DD6">
      <w:pPr>
        <w:jc w:val="right"/>
      </w:pPr>
      <w:r>
        <w:t>Zaborzsky 2008</w:t>
      </w:r>
    </w:p>
    <w:p w:rsidR="002A7045" w:rsidRDefault="002A7045" w:rsidP="003755D2"/>
    <w:p w:rsidR="007F6DD6" w:rsidRDefault="007F6DD6" w:rsidP="003755D2"/>
    <w:p w:rsidR="00DD7425" w:rsidRDefault="00DD7425" w:rsidP="00DD7425">
      <w:pPr>
        <w:pStyle w:val="Nervous1"/>
      </w:pPr>
      <w:bookmarkStart w:id="7" w:name="_Toc6655871"/>
      <w:r>
        <w:t>Histology</w:t>
      </w:r>
      <w:bookmarkEnd w:id="7"/>
    </w:p>
    <w:p w:rsidR="00721467" w:rsidRDefault="00721467" w:rsidP="003755D2">
      <w:pPr>
        <w:rPr>
          <w:szCs w:val="24"/>
          <w:shd w:val="clear" w:color="auto" w:fill="FFFFFF"/>
        </w:rPr>
      </w:pPr>
      <w:r w:rsidRPr="00721467">
        <w:rPr>
          <w:szCs w:val="24"/>
          <w:shd w:val="clear" w:color="auto" w:fill="FFFFFF"/>
        </w:rPr>
        <w:t>Several postmortem studies have found that total number of nucleus basalis Meynert neurons in the nineth decade was 20–30% below that in newborns [Lowes-Hummel et al., 1989; Mann et al., 1984; McGeer et al., 1984].</w:t>
      </w:r>
    </w:p>
    <w:p w:rsidR="00721467" w:rsidRDefault="00721467" w:rsidP="003755D2">
      <w:pPr>
        <w:rPr>
          <w:szCs w:val="24"/>
          <w:shd w:val="clear" w:color="auto" w:fill="FFFFFF"/>
        </w:rPr>
      </w:pPr>
    </w:p>
    <w:p w:rsidR="00432E1A" w:rsidRPr="00B374DF" w:rsidRDefault="00432E1A" w:rsidP="003755D2">
      <w:pPr>
        <w:rPr>
          <w:szCs w:val="24"/>
          <w:shd w:val="clear" w:color="auto" w:fill="FFFFFF"/>
        </w:rPr>
      </w:pPr>
      <w:r w:rsidRPr="00B374DF">
        <w:rPr>
          <w:szCs w:val="24"/>
          <w:shd w:val="clear" w:color="auto" w:fill="FFFFFF"/>
        </w:rPr>
        <w:t>NBM in relation to globus pallidus (top of image)</w:t>
      </w:r>
      <w:r w:rsidR="00B374DF" w:rsidRPr="00B374DF">
        <w:rPr>
          <w:szCs w:val="24"/>
          <w:shd w:val="clear" w:color="auto" w:fill="FFFFFF"/>
        </w:rPr>
        <w:t>:</w:t>
      </w:r>
    </w:p>
    <w:p w:rsidR="00432E1A" w:rsidRDefault="00432E1A" w:rsidP="003755D2">
      <w:r>
        <w:rPr>
          <w:noProof/>
        </w:rPr>
        <w:drawing>
          <wp:inline distT="0" distB="0" distL="0" distR="0">
            <wp:extent cx="6300470" cy="9450705"/>
            <wp:effectExtent l="0" t="0" r="5080" b="0"/>
            <wp:docPr id="5" name="Picture 5" descr="https://upload.wikimedia.org/wikipedia/commons/f/fb/Nucleus_basalis_of_Meynert_-_low_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f/fb/Nucleus_basalis_of_Meynert_-_low_mag.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00470" cy="9450705"/>
                    </a:xfrm>
                    <a:prstGeom prst="rect">
                      <a:avLst/>
                    </a:prstGeom>
                    <a:noFill/>
                    <a:ln>
                      <a:noFill/>
                    </a:ln>
                  </pic:spPr>
                </pic:pic>
              </a:graphicData>
            </a:graphic>
          </wp:inline>
        </w:drawing>
      </w:r>
    </w:p>
    <w:p w:rsidR="003755D2" w:rsidRDefault="003755D2" w:rsidP="003755D2"/>
    <w:p w:rsidR="00656414" w:rsidRDefault="00656414" w:rsidP="003755D2"/>
    <w:p w:rsidR="00DB340F" w:rsidRDefault="00DB340F" w:rsidP="003755D2"/>
    <w:p w:rsidR="004D0098" w:rsidRDefault="004D0098" w:rsidP="003755D2"/>
    <w:p w:rsidR="00FF3BD5" w:rsidRDefault="00FF3BD5" w:rsidP="003755D2"/>
    <w:p w:rsidR="00656414" w:rsidRPr="00656414" w:rsidRDefault="00656414" w:rsidP="00656414">
      <w:pPr>
        <w:pStyle w:val="Nervous1"/>
        <w:rPr>
          <w:shd w:val="clear" w:color="auto" w:fill="FFFFFF"/>
        </w:rPr>
      </w:pPr>
      <w:bookmarkStart w:id="8" w:name="_Toc6655872"/>
      <w:r w:rsidRPr="002271B5">
        <w:t>Function</w:t>
      </w:r>
      <w:bookmarkEnd w:id="8"/>
    </w:p>
    <w:p w:rsidR="00656414" w:rsidRPr="002271B5" w:rsidRDefault="00492509" w:rsidP="00656414">
      <w:r>
        <w:t>T</w:t>
      </w:r>
      <w:r w:rsidR="00656414" w:rsidRPr="002271B5">
        <w:t>hese cholinergic neurons have a number of important functions in particular with respect to modulating the ratio of reality and virtual reality components of visual perception.</w:t>
      </w:r>
      <w:hyperlink r:id="rId25" w:anchor="cite_note-Smythies2009-1" w:history="1">
        <w:r w:rsidR="00656414" w:rsidRPr="002271B5">
          <w:t>[1]</w:t>
        </w:r>
      </w:hyperlink>
      <w:r w:rsidR="00656414" w:rsidRPr="002271B5">
        <w:t> Experimental evidence has shown that normal visual perception has two components.</w:t>
      </w:r>
      <w:hyperlink r:id="rId26" w:anchor="cite_note-Smythies2009-1" w:history="1">
        <w:r w:rsidR="00656414" w:rsidRPr="002271B5">
          <w:t>[1]</w:t>
        </w:r>
      </w:hyperlink>
      <w:r w:rsidR="00656414" w:rsidRPr="002271B5">
        <w:t> The first (A) is a bottom-up component in which the input to the higher visual cortex (where conscious perception takes place) comes from the retina via the </w:t>
      </w:r>
      <w:hyperlink r:id="rId27" w:tooltip="Lateral geniculate body" w:history="1">
        <w:r w:rsidR="00656414" w:rsidRPr="002271B5">
          <w:t>lateral geniculate body</w:t>
        </w:r>
      </w:hyperlink>
      <w:r w:rsidR="00656414" w:rsidRPr="002271B5">
        <w:t> and </w:t>
      </w:r>
      <w:hyperlink r:id="rId28" w:tooltip="Visual cortex" w:history="1">
        <w:r w:rsidR="00656414" w:rsidRPr="002271B5">
          <w:t>V1</w:t>
        </w:r>
      </w:hyperlink>
      <w:r w:rsidR="00656414" w:rsidRPr="002271B5">
        <w:t>. This carries information about what is actually outside. The second (B) is a top-down component in which the input to the higher visual cortex comes from other areas of the cortex. This carries information about what the brain computes is most probably outside. In normal vision, what is seen at the center of attention is carried by A, and material at the periphery of attention is carried mainly by B. When a new potentially important stimulus is received, the Nucleus Basalis is activated. The axons it sends to the visual cortex provide collaterals to pyramidal cells in layer IV (the input layer for retinal fibres) where they activate excitatory nicotinic receptors and thus potentiate retinal activation of V1.</w:t>
      </w:r>
      <w:hyperlink r:id="rId29" w:anchor="cite_note-pmid15944135-2" w:history="1">
        <w:r w:rsidR="00656414" w:rsidRPr="002271B5">
          <w:t>[2]</w:t>
        </w:r>
      </w:hyperlink>
      <w:r w:rsidR="00656414" w:rsidRPr="002271B5">
        <w:t> The cholinergic axons then proceed to layers 1-11 (the input layer for cortico-cortical fibers) where they activate inhibitory muscarinic receptors of pyramidal cells, and thus inhibit cortico-cortical conduction.</w:t>
      </w:r>
      <w:hyperlink r:id="rId30" w:anchor="cite_note-pmid15944135-2" w:history="1">
        <w:r w:rsidR="00656414" w:rsidRPr="002271B5">
          <w:t>[2]</w:t>
        </w:r>
      </w:hyperlink>
      <w:r w:rsidR="00656414" w:rsidRPr="002271B5">
        <w:t> In this way activation of Nucleus Basalis promotes (A) and inhibits (B) thus allowing full attention to be paid to the new stimulus. Goard and Dan,</w:t>
      </w:r>
      <w:hyperlink r:id="rId31" w:anchor="cite_note-pmid19801988-3" w:history="1">
        <w:r w:rsidR="00656414" w:rsidRPr="002271B5">
          <w:t>[3]</w:t>
        </w:r>
      </w:hyperlink>
      <w:r w:rsidR="00656414" w:rsidRPr="002271B5">
        <w:t> and Kuo et al.</w:t>
      </w:r>
      <w:hyperlink r:id="rId32" w:anchor="cite_note-pmid19531370-4" w:history="1">
        <w:r w:rsidR="00656414" w:rsidRPr="002271B5">
          <w:t>[4]</w:t>
        </w:r>
      </w:hyperlink>
      <w:r w:rsidR="00656414" w:rsidRPr="002271B5">
        <w:t> report similar findings. Gerrard Reopit, in 1984, confirmed the reported findings in his research.</w:t>
      </w:r>
    </w:p>
    <w:p w:rsidR="002271B5" w:rsidRDefault="002271B5" w:rsidP="00656414"/>
    <w:p w:rsidR="002271B5" w:rsidRDefault="00CB1180" w:rsidP="00656414">
      <w:r w:rsidRPr="00CB1180">
        <w:t>NBM - very high magnification:</w:t>
      </w:r>
    </w:p>
    <w:p w:rsidR="00CB1180" w:rsidRDefault="00CB1180" w:rsidP="00656414">
      <w:r>
        <w:rPr>
          <w:noProof/>
        </w:rPr>
        <w:drawing>
          <wp:inline distT="0" distB="0" distL="0" distR="0" wp14:anchorId="13FD5EA4" wp14:editId="53252237">
            <wp:extent cx="6300470" cy="4200525"/>
            <wp:effectExtent l="0" t="0" r="508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00470" cy="4200525"/>
                    </a:xfrm>
                    <a:prstGeom prst="rect">
                      <a:avLst/>
                    </a:prstGeom>
                  </pic:spPr>
                </pic:pic>
              </a:graphicData>
            </a:graphic>
          </wp:inline>
        </w:drawing>
      </w:r>
    </w:p>
    <w:p w:rsidR="00CB1180" w:rsidRDefault="00CB1180" w:rsidP="00656414"/>
    <w:p w:rsidR="00A700AD" w:rsidRDefault="00A700AD" w:rsidP="00656414"/>
    <w:p w:rsidR="00A700AD" w:rsidRDefault="00A700AD" w:rsidP="00A700AD">
      <w:pPr>
        <w:pStyle w:val="Nervous5"/>
        <w:ind w:right="6412"/>
      </w:pPr>
      <w:bookmarkStart w:id="9" w:name="_Toc6655873"/>
      <w:r>
        <w:t>Cogntive Function</w:t>
      </w:r>
      <w:bookmarkEnd w:id="9"/>
    </w:p>
    <w:p w:rsidR="00A700AD" w:rsidRDefault="00AD37F7" w:rsidP="00A700AD">
      <w:pPr>
        <w:pStyle w:val="Articlename"/>
      </w:pPr>
      <w:r>
        <w:t xml:space="preserve">Reference: </w:t>
      </w:r>
      <w:r w:rsidR="00A700AD" w:rsidRPr="00A700AD">
        <w:t>James Gratwicke et al. The nucleus basalis of Meynert: A new target for deep brain stimulation in dementia? Neuroscience and Biobehavioral Reviews 37 (2013) 2676–2688</w:t>
      </w:r>
    </w:p>
    <w:p w:rsidR="00CB1180" w:rsidRDefault="00CB1180" w:rsidP="00656414"/>
    <w:p w:rsidR="00115FAA" w:rsidRDefault="00A700AD" w:rsidP="00115FAA">
      <w:pPr>
        <w:pStyle w:val="Nervous6"/>
      </w:pPr>
      <w:bookmarkStart w:id="10" w:name="_Toc6655874"/>
      <w:r w:rsidRPr="00115FAA">
        <w:t>Function: memory</w:t>
      </w:r>
      <w:bookmarkEnd w:id="10"/>
    </w:p>
    <w:p w:rsidR="001004EB" w:rsidRDefault="00A700AD" w:rsidP="00656414">
      <w:r w:rsidRPr="00115FAA">
        <w:t>The NBM plays a</w:t>
      </w:r>
      <w:r w:rsidR="001004EB">
        <w:t xml:space="preserve"> </w:t>
      </w:r>
      <w:r w:rsidRPr="00115FAA">
        <w:t>key role in the formati</w:t>
      </w:r>
      <w:r w:rsidR="001004EB">
        <w:t>on of memory.</w:t>
      </w:r>
    </w:p>
    <w:p w:rsidR="001004EB" w:rsidRDefault="00A700AD" w:rsidP="001004EB">
      <w:pPr>
        <w:pStyle w:val="ListParagraph"/>
        <w:numPr>
          <w:ilvl w:val="0"/>
          <w:numId w:val="10"/>
        </w:numPr>
      </w:pPr>
      <w:r w:rsidRPr="00115FAA">
        <w:t xml:space="preserve">the NBM is uniquely positioned </w:t>
      </w:r>
      <w:r w:rsidRPr="001004EB">
        <w:rPr>
          <w:b/>
          <w:i/>
        </w:rPr>
        <w:t>to provide the cortex with information about the behavioural importance of stimuli in order to affect</w:t>
      </w:r>
      <w:r w:rsidR="001004EB" w:rsidRPr="001004EB">
        <w:rPr>
          <w:b/>
          <w:i/>
        </w:rPr>
        <w:t xml:space="preserve"> </w:t>
      </w:r>
      <w:r w:rsidRPr="001004EB">
        <w:rPr>
          <w:b/>
          <w:i/>
        </w:rPr>
        <w:t>learning</w:t>
      </w:r>
      <w:r w:rsidR="001004EB">
        <w:t>.</w:t>
      </w:r>
    </w:p>
    <w:p w:rsidR="001004EB" w:rsidRDefault="001004EB" w:rsidP="001004EB">
      <w:pPr>
        <w:pStyle w:val="ListParagraph"/>
        <w:numPr>
          <w:ilvl w:val="0"/>
          <w:numId w:val="10"/>
        </w:numPr>
      </w:pPr>
      <w:r w:rsidRPr="00115FAA">
        <w:t xml:space="preserve">the NBM </w:t>
      </w:r>
      <w:r w:rsidR="00A700AD" w:rsidRPr="00115FAA">
        <w:t>provides the main cholinergic projection to the</w:t>
      </w:r>
      <w:r>
        <w:t xml:space="preserve"> </w:t>
      </w:r>
      <w:r w:rsidR="00A700AD" w:rsidRPr="00115FAA">
        <w:t>amygdala (Nagai et al., 1982; Selden et al., 1998), which mediates</w:t>
      </w:r>
      <w:r>
        <w:t xml:space="preserve"> </w:t>
      </w:r>
      <w:r w:rsidR="00A700AD" w:rsidRPr="00115FAA">
        <w:t>adversely motivated learning and is known to modulate memory</w:t>
      </w:r>
      <w:r>
        <w:t xml:space="preserve"> </w:t>
      </w:r>
      <w:r w:rsidR="00A700AD" w:rsidRPr="00115FAA">
        <w:t>formation in other regions (McGaugh, 2002).</w:t>
      </w:r>
    </w:p>
    <w:p w:rsidR="00BD0AAA" w:rsidRDefault="001004EB" w:rsidP="001004EB">
      <w:pPr>
        <w:pStyle w:val="ListParagraph"/>
        <w:numPr>
          <w:ilvl w:val="0"/>
          <w:numId w:val="10"/>
        </w:numPr>
      </w:pPr>
      <w:r>
        <w:t>e</w:t>
      </w:r>
      <w:r w:rsidR="00A700AD" w:rsidRPr="00115FAA">
        <w:t>xperiments in rodents, primates and humans have established</w:t>
      </w:r>
      <w:r>
        <w:t xml:space="preserve"> </w:t>
      </w:r>
      <w:r w:rsidR="00A700AD" w:rsidRPr="00115FAA">
        <w:t xml:space="preserve">that </w:t>
      </w:r>
      <w:r w:rsidR="00A700AD" w:rsidRPr="001004EB">
        <w:rPr>
          <w:b/>
          <w:i/>
        </w:rPr>
        <w:t>cortical cholinergic function is essential to the acquisition of</w:t>
      </w:r>
      <w:r w:rsidRPr="001004EB">
        <w:rPr>
          <w:b/>
          <w:i/>
        </w:rPr>
        <w:t xml:space="preserve"> </w:t>
      </w:r>
      <w:r w:rsidR="00A700AD" w:rsidRPr="001004EB">
        <w:rPr>
          <w:b/>
          <w:i/>
        </w:rPr>
        <w:t>new memories</w:t>
      </w:r>
      <w:r w:rsidR="00A700AD" w:rsidRPr="00115FAA">
        <w:t xml:space="preserve"> (Croxson et al., 2011; Fisher et al., 1998; Murray andFibiger,</w:t>
      </w:r>
      <w:r>
        <w:t xml:space="preserve"> 1985; Petersen et al., 1977); </w:t>
      </w:r>
      <w:r w:rsidRPr="001004EB">
        <w:rPr>
          <w:rStyle w:val="Red"/>
        </w:rPr>
        <w:t>l</w:t>
      </w:r>
      <w:r w:rsidR="00A700AD" w:rsidRPr="001004EB">
        <w:rPr>
          <w:rStyle w:val="Red"/>
        </w:rPr>
        <w:t>esions of the NBM cholinergic</w:t>
      </w:r>
      <w:r w:rsidRPr="001004EB">
        <w:rPr>
          <w:rStyle w:val="Red"/>
        </w:rPr>
        <w:t xml:space="preserve"> </w:t>
      </w:r>
      <w:r w:rsidR="00A700AD" w:rsidRPr="001004EB">
        <w:rPr>
          <w:rStyle w:val="Red"/>
        </w:rPr>
        <w:t>system</w:t>
      </w:r>
      <w:r w:rsidR="00A700AD" w:rsidRPr="00115FAA">
        <w:t xml:space="preserve"> in rodents and primates reduce cortical cholinergic function and thereby </w:t>
      </w:r>
      <w:r w:rsidR="00A700AD" w:rsidRPr="001004EB">
        <w:rPr>
          <w:rStyle w:val="Red"/>
        </w:rPr>
        <w:t>impair learning and memory on a variety of tasks</w:t>
      </w:r>
      <w:r>
        <w:rPr>
          <w:rStyle w:val="Red"/>
        </w:rPr>
        <w:t xml:space="preserve"> </w:t>
      </w:r>
      <w:r w:rsidR="00A700AD" w:rsidRPr="00115FAA">
        <w:t>(Bartus et al., 1985; Butt and Hodge, 1995; Irle and Markowitsch,1987; Leanza et al., 1996; Mandel et al., 1989; Roberts et al., 1992).</w:t>
      </w:r>
    </w:p>
    <w:p w:rsidR="00AD37F7" w:rsidRDefault="00A700AD" w:rsidP="001004EB">
      <w:pPr>
        <w:pStyle w:val="ListParagraph"/>
        <w:numPr>
          <w:ilvl w:val="0"/>
          <w:numId w:val="10"/>
        </w:numPr>
      </w:pPr>
      <w:r w:rsidRPr="00BD0AAA">
        <w:rPr>
          <w:b/>
          <w:i/>
        </w:rPr>
        <w:t>stimulation of the rodent NBM directly induces cortical plasticity and re-organizes receptive field maps</w:t>
      </w:r>
      <w:r w:rsidRPr="00115FAA">
        <w:t xml:space="preserve"> (the region of</w:t>
      </w:r>
      <w:r w:rsidR="00BD0AAA">
        <w:t xml:space="preserve"> </w:t>
      </w:r>
      <w:r w:rsidRPr="00115FAA">
        <w:t>auditory frequencies detected by a group of cortical sensory neurons) in relation to stimuli (Bakin and Weinberger, 1996; Kilgard</w:t>
      </w:r>
      <w:r w:rsidR="00AD37F7">
        <w:t xml:space="preserve"> </w:t>
      </w:r>
      <w:r w:rsidRPr="00115FAA">
        <w:t>and Merzenich, 1998), representing a “physiological memory”</w:t>
      </w:r>
      <w:r w:rsidR="00BD0AAA">
        <w:t xml:space="preserve"> </w:t>
      </w:r>
      <w:r w:rsidR="00AD37F7">
        <w:t>(McLin et al., 2002);</w:t>
      </w:r>
    </w:p>
    <w:p w:rsidR="00AD37F7" w:rsidRDefault="00AD37F7" w:rsidP="00AD37F7">
      <w:pPr>
        <w:pStyle w:val="ListParagraph"/>
        <w:numPr>
          <w:ilvl w:val="0"/>
          <w:numId w:val="11"/>
        </w:numPr>
      </w:pPr>
      <w:r w:rsidRPr="00AD37F7">
        <w:t>t</w:t>
      </w:r>
      <w:r w:rsidR="00A700AD" w:rsidRPr="00115FAA">
        <w:t>his phenomenon is dependent on cholinergic function as it is blocked by anti-cholinergic agents (Bakin andWeinberger, 1996) or by selective lesions of the NBM (Baskervilleet al</w:t>
      </w:r>
      <w:r>
        <w:t>., 1997; Webster et al., 1991).</w:t>
      </w:r>
    </w:p>
    <w:p w:rsidR="0024728D" w:rsidRDefault="00A700AD" w:rsidP="00AD37F7">
      <w:pPr>
        <w:pStyle w:val="ListParagraph"/>
        <w:numPr>
          <w:ilvl w:val="0"/>
          <w:numId w:val="11"/>
        </w:numPr>
      </w:pPr>
      <w:r w:rsidRPr="00115FAA">
        <w:t>induction of these</w:t>
      </w:r>
      <w:r w:rsidR="00115FAA">
        <w:t xml:space="preserve"> </w:t>
      </w:r>
      <w:r w:rsidRPr="00115FAA">
        <w:t xml:space="preserve">plastic changes is associated with cortical EEG </w:t>
      </w:r>
      <w:r w:rsidR="0024728D">
        <w:t xml:space="preserve">desynchronization </w:t>
      </w:r>
      <w:r w:rsidRPr="00115FAA">
        <w:t>(change from slow synchronized delta waves to fast gamma and</w:t>
      </w:r>
      <w:r w:rsidR="0024728D">
        <w:t xml:space="preserve"> </w:t>
      </w:r>
      <w:r w:rsidRPr="00115FAA">
        <w:t>theta waves) (Bakin and Weinberger, 1996), which is itself associated with plasticity and learning (Huerta and Lisman, 1993; Leeet al., 2005; Raghavachari et al., 2001). Therefore, the NBM directly</w:t>
      </w:r>
      <w:r w:rsidR="0024728D">
        <w:t xml:space="preserve"> </w:t>
      </w:r>
      <w:r w:rsidRPr="00115FAA">
        <w:t>induces cortical plasticity and electrophysiological correlates of</w:t>
      </w:r>
      <w:r w:rsidR="0024728D">
        <w:t xml:space="preserve"> </w:t>
      </w:r>
      <w:r w:rsidRPr="00115FAA">
        <w:t>learning and memory via the release of ACh from its cortical projections.</w:t>
      </w:r>
    </w:p>
    <w:p w:rsidR="00115FAA" w:rsidRDefault="00A700AD" w:rsidP="00AD37F7">
      <w:pPr>
        <w:pStyle w:val="ListParagraph"/>
        <w:numPr>
          <w:ilvl w:val="0"/>
          <w:numId w:val="11"/>
        </w:numPr>
      </w:pPr>
      <w:r w:rsidRPr="00115FAA">
        <w:t>Miasnikov et al. (2009) take this further, demonstrating that</w:t>
      </w:r>
      <w:r w:rsidR="0024728D">
        <w:t xml:space="preserve"> </w:t>
      </w:r>
      <w:r w:rsidRPr="00115FAA">
        <w:t>the physiological changes induced in the cortex of rats by NBM</w:t>
      </w:r>
      <w:r w:rsidR="0024728D">
        <w:t xml:space="preserve"> </w:t>
      </w:r>
      <w:r w:rsidRPr="00115FAA">
        <w:t>stimulation do not represent simply plastic re-organisation but</w:t>
      </w:r>
      <w:r w:rsidR="0024728D">
        <w:t xml:space="preserve"> </w:t>
      </w:r>
      <w:r w:rsidRPr="00115FAA">
        <w:t>actually have all the attributes of true natural associative memory: associativity, specificity, rapid acquisition, consolidation, longterm retention and extinction (McLin et al., 2002; Miasnikov et al.,2009). Thus, compelling evidence exists that NBM plays an integral</w:t>
      </w:r>
      <w:r w:rsidR="0024728D">
        <w:t xml:space="preserve"> </w:t>
      </w:r>
      <w:r w:rsidRPr="00115FAA">
        <w:t>role in new memory formation.</w:t>
      </w:r>
    </w:p>
    <w:p w:rsidR="00115FAA" w:rsidRDefault="00115FAA" w:rsidP="00656414"/>
    <w:p w:rsidR="00115FAA" w:rsidRDefault="00A700AD" w:rsidP="00115FAA">
      <w:pPr>
        <w:pStyle w:val="Nervous6"/>
        <w:ind w:right="7402"/>
      </w:pPr>
      <w:bookmarkStart w:id="11" w:name="_Toc6655875"/>
      <w:r w:rsidRPr="00115FAA">
        <w:t>Function: attention</w:t>
      </w:r>
      <w:bookmarkEnd w:id="11"/>
    </w:p>
    <w:p w:rsidR="00D202E1" w:rsidRDefault="001D715A" w:rsidP="001D715A">
      <w:pPr>
        <w:pStyle w:val="ListParagraph"/>
        <w:numPr>
          <w:ilvl w:val="0"/>
          <w:numId w:val="10"/>
        </w:numPr>
        <w:rPr>
          <w:color w:val="000000" w:themeColor="text1"/>
        </w:rPr>
      </w:pPr>
      <w:r w:rsidRPr="00D202E1">
        <w:rPr>
          <w:color w:val="000000" w:themeColor="text1"/>
        </w:rPr>
        <w:t>p</w:t>
      </w:r>
      <w:r w:rsidR="00A700AD" w:rsidRPr="00D202E1">
        <w:rPr>
          <w:color w:val="000000" w:themeColor="text1"/>
        </w:rPr>
        <w:t>harmacological</w:t>
      </w:r>
      <w:r w:rsidRPr="00D202E1">
        <w:rPr>
          <w:color w:val="000000" w:themeColor="text1"/>
        </w:rPr>
        <w:t xml:space="preserve"> </w:t>
      </w:r>
      <w:r w:rsidR="00A700AD" w:rsidRPr="00D202E1">
        <w:rPr>
          <w:color w:val="000000" w:themeColor="text1"/>
        </w:rPr>
        <w:t xml:space="preserve">manipulations in humans show that the central </w:t>
      </w:r>
      <w:r w:rsidR="00A700AD" w:rsidRPr="00D202E1">
        <w:rPr>
          <w:b/>
          <w:i/>
          <w:color w:val="000000" w:themeColor="text1"/>
        </w:rPr>
        <w:t>cholinergic system is intimately involved in the mediation of attention</w:t>
      </w:r>
      <w:r w:rsidR="00A700AD" w:rsidRPr="00D202E1">
        <w:rPr>
          <w:color w:val="000000" w:themeColor="text1"/>
        </w:rPr>
        <w:t xml:space="preserve"> (Bentleyet al.,</w:t>
      </w:r>
      <w:r w:rsidR="00D202E1">
        <w:rPr>
          <w:color w:val="000000" w:themeColor="text1"/>
        </w:rPr>
        <w:t xml:space="preserve"> 2004; Dunne and Hartley, 1985)</w:t>
      </w:r>
    </w:p>
    <w:p w:rsidR="003032A0" w:rsidRDefault="00A700AD" w:rsidP="001D715A">
      <w:pPr>
        <w:pStyle w:val="ListParagraph"/>
        <w:numPr>
          <w:ilvl w:val="0"/>
          <w:numId w:val="10"/>
        </w:numPr>
        <w:rPr>
          <w:color w:val="000000" w:themeColor="text1"/>
        </w:rPr>
      </w:pPr>
      <w:r w:rsidRPr="00D202E1">
        <w:rPr>
          <w:color w:val="000000" w:themeColor="text1"/>
        </w:rPr>
        <w:t>selective basal forebrain</w:t>
      </w:r>
      <w:r w:rsidR="00D202E1">
        <w:rPr>
          <w:color w:val="000000" w:themeColor="text1"/>
        </w:rPr>
        <w:t xml:space="preserve"> </w:t>
      </w:r>
      <w:r w:rsidRPr="00D202E1">
        <w:rPr>
          <w:color w:val="000000" w:themeColor="text1"/>
        </w:rPr>
        <w:t>lesions in animal studies provide extensive evidence that the NBM</w:t>
      </w:r>
      <w:r w:rsidR="003032A0">
        <w:rPr>
          <w:color w:val="000000" w:themeColor="text1"/>
        </w:rPr>
        <w:t xml:space="preserve"> </w:t>
      </w:r>
      <w:r w:rsidRPr="00D202E1">
        <w:rPr>
          <w:color w:val="000000" w:themeColor="text1"/>
        </w:rPr>
        <w:t>and its cholinergic projections are key in mediating a range of attentional functions (McGaughy et al., 2002; Muir et al., 1992; Robbinset al., 1989; Voytko, 1996; Voytko et al., 1994).</w:t>
      </w:r>
    </w:p>
    <w:p w:rsidR="003D0325" w:rsidRDefault="003032A0" w:rsidP="001D715A">
      <w:pPr>
        <w:pStyle w:val="ListParagraph"/>
        <w:numPr>
          <w:ilvl w:val="0"/>
          <w:numId w:val="10"/>
        </w:numPr>
        <w:rPr>
          <w:color w:val="000000" w:themeColor="text1"/>
        </w:rPr>
      </w:pPr>
      <w:r>
        <w:rPr>
          <w:color w:val="000000" w:themeColor="text1"/>
        </w:rPr>
        <w:t>the NBM medi</w:t>
      </w:r>
      <w:r w:rsidR="00A700AD" w:rsidRPr="00D202E1">
        <w:rPr>
          <w:color w:val="000000" w:themeColor="text1"/>
        </w:rPr>
        <w:t>ates “attentional effort”, acting in a reciprocal network with the</w:t>
      </w:r>
      <w:r>
        <w:rPr>
          <w:color w:val="000000" w:themeColor="text1"/>
        </w:rPr>
        <w:t xml:space="preserve"> </w:t>
      </w:r>
      <w:r w:rsidR="00A700AD" w:rsidRPr="00D202E1">
        <w:rPr>
          <w:color w:val="000000" w:themeColor="text1"/>
        </w:rPr>
        <w:t>mesolimbic, prefrontal and parietal regions to monitor behavioural</w:t>
      </w:r>
      <w:r>
        <w:rPr>
          <w:color w:val="000000" w:themeColor="text1"/>
        </w:rPr>
        <w:t xml:space="preserve"> </w:t>
      </w:r>
      <w:r w:rsidR="00A700AD" w:rsidRPr="00D202E1">
        <w:rPr>
          <w:color w:val="000000" w:themeColor="text1"/>
        </w:rPr>
        <w:t>performance (Sarter et al., 2006). If performance declines, acetyl-choline release from NBM projections can boost sensory input</w:t>
      </w:r>
      <w:r>
        <w:rPr>
          <w:color w:val="000000" w:themeColor="text1"/>
        </w:rPr>
        <w:t xml:space="preserve"> </w:t>
      </w:r>
      <w:r w:rsidR="00A700AD" w:rsidRPr="00D202E1">
        <w:rPr>
          <w:color w:val="000000" w:themeColor="text1"/>
        </w:rPr>
        <w:t>detection (bottom up), thereby redirecting attention and improving performance. This is supported by both rodent and primate</w:t>
      </w:r>
      <w:r>
        <w:rPr>
          <w:color w:val="000000" w:themeColor="text1"/>
        </w:rPr>
        <w:t xml:space="preserve"> </w:t>
      </w:r>
      <w:r w:rsidR="00A700AD" w:rsidRPr="00D202E1">
        <w:rPr>
          <w:color w:val="000000" w:themeColor="text1"/>
        </w:rPr>
        <w:t>experiments which show that increasing cortical ACh levels, either</w:t>
      </w:r>
      <w:r>
        <w:rPr>
          <w:color w:val="000000" w:themeColor="text1"/>
        </w:rPr>
        <w:t xml:space="preserve"> </w:t>
      </w:r>
      <w:r w:rsidR="00A700AD" w:rsidRPr="00D202E1">
        <w:rPr>
          <w:color w:val="000000" w:themeColor="text1"/>
        </w:rPr>
        <w:t>by NBM stimulation or by iontophoretic application, dynamically</w:t>
      </w:r>
      <w:r>
        <w:rPr>
          <w:color w:val="000000" w:themeColor="text1"/>
        </w:rPr>
        <w:t xml:space="preserve"> </w:t>
      </w:r>
      <w:r w:rsidR="00A700AD" w:rsidRPr="00D202E1">
        <w:rPr>
          <w:color w:val="000000" w:themeColor="text1"/>
        </w:rPr>
        <w:t>modulates cortical coding of sensory inputs, producing more reliable coding of stimuli associated with a background suppression</w:t>
      </w:r>
      <w:r>
        <w:rPr>
          <w:color w:val="000000" w:themeColor="text1"/>
        </w:rPr>
        <w:t xml:space="preserve"> </w:t>
      </w:r>
      <w:r w:rsidR="00A700AD" w:rsidRPr="00D202E1">
        <w:rPr>
          <w:color w:val="000000" w:themeColor="text1"/>
        </w:rPr>
        <w:t>of contextual information (Goard and Dan, 2009; Roberts et al.,2005). In agreement with this, electrophysiological recordings from</w:t>
      </w:r>
      <w:r w:rsidR="003D0325">
        <w:rPr>
          <w:color w:val="000000" w:themeColor="text1"/>
        </w:rPr>
        <w:t xml:space="preserve"> </w:t>
      </w:r>
      <w:r w:rsidR="00A700AD" w:rsidRPr="00D202E1">
        <w:rPr>
          <w:color w:val="000000" w:themeColor="text1"/>
        </w:rPr>
        <w:t>parietal and sensory cortices in rodents and primates performing</w:t>
      </w:r>
      <w:r w:rsidR="00115FAA" w:rsidRPr="00D202E1">
        <w:rPr>
          <w:color w:val="000000" w:themeColor="text1"/>
        </w:rPr>
        <w:t xml:space="preserve"> attention tasks show that </w:t>
      </w:r>
      <w:r w:rsidR="00115FAA" w:rsidRPr="003D0325">
        <w:rPr>
          <w:b/>
          <w:i/>
          <w:color w:val="000000" w:themeColor="text1"/>
        </w:rPr>
        <w:t>cholinergic input disproportionately</w:t>
      </w:r>
      <w:r w:rsidR="003D0325" w:rsidRPr="003D0325">
        <w:rPr>
          <w:b/>
          <w:i/>
          <w:color w:val="000000" w:themeColor="text1"/>
        </w:rPr>
        <w:t xml:space="preserve"> </w:t>
      </w:r>
      <w:r w:rsidR="00115FAA" w:rsidRPr="003D0325">
        <w:rPr>
          <w:b/>
          <w:i/>
          <w:color w:val="000000" w:themeColor="text1"/>
        </w:rPr>
        <w:t>increases weighting of task-relevant versus task-irrelevant inputs</w:t>
      </w:r>
      <w:r w:rsidR="003D0325">
        <w:rPr>
          <w:color w:val="000000" w:themeColor="text1"/>
        </w:rPr>
        <w:t xml:space="preserve"> </w:t>
      </w:r>
      <w:r w:rsidR="00115FAA" w:rsidRPr="00D202E1">
        <w:rPr>
          <w:color w:val="000000" w:themeColor="text1"/>
        </w:rPr>
        <w:t>(Broussard et al., 2009; Herrero et al., 2008). Therefore, this modulation of cortical sensory processing by the NBM cholinergic system</w:t>
      </w:r>
      <w:r w:rsidR="003D0325">
        <w:rPr>
          <w:color w:val="000000" w:themeColor="text1"/>
        </w:rPr>
        <w:t xml:space="preserve"> </w:t>
      </w:r>
      <w:r w:rsidR="00115FAA" w:rsidRPr="003D0325">
        <w:rPr>
          <w:b/>
          <w:i/>
          <w:color w:val="000000" w:themeColor="text1"/>
        </w:rPr>
        <w:t>serves to increase the signal to noise ratio and thereby confers perceptual enhancement</w:t>
      </w:r>
      <w:r w:rsidR="00115FAA" w:rsidRPr="00D202E1">
        <w:rPr>
          <w:color w:val="000000" w:themeColor="text1"/>
        </w:rPr>
        <w:t>, which could represent the neurobiological</w:t>
      </w:r>
      <w:r w:rsidR="003D0325">
        <w:rPr>
          <w:color w:val="000000" w:themeColor="text1"/>
        </w:rPr>
        <w:t xml:space="preserve"> </w:t>
      </w:r>
      <w:r w:rsidR="00115FAA" w:rsidRPr="00D202E1">
        <w:rPr>
          <w:color w:val="000000" w:themeColor="text1"/>
        </w:rPr>
        <w:t xml:space="preserve">correlate of </w:t>
      </w:r>
      <w:r w:rsidR="00115FAA" w:rsidRPr="003D0325">
        <w:rPr>
          <w:color w:val="000000" w:themeColor="text1"/>
          <w:u w:val="single"/>
        </w:rPr>
        <w:t>selective attention</w:t>
      </w:r>
      <w:r w:rsidR="00115FAA" w:rsidRPr="00D202E1">
        <w:rPr>
          <w:color w:val="000000" w:themeColor="text1"/>
        </w:rPr>
        <w:t xml:space="preserve"> (Bentley et al., 2011).</w:t>
      </w:r>
    </w:p>
    <w:p w:rsidR="00115FAA" w:rsidRPr="00D202E1" w:rsidRDefault="003D0325" w:rsidP="001D715A">
      <w:pPr>
        <w:pStyle w:val="ListParagraph"/>
        <w:numPr>
          <w:ilvl w:val="0"/>
          <w:numId w:val="10"/>
        </w:numPr>
        <w:rPr>
          <w:color w:val="000000" w:themeColor="text1"/>
        </w:rPr>
      </w:pPr>
      <w:r w:rsidRPr="003D0325">
        <w:rPr>
          <w:rStyle w:val="Blue"/>
        </w:rPr>
        <w:t>a</w:t>
      </w:r>
      <w:r w:rsidR="00115FAA" w:rsidRPr="003D0325">
        <w:rPr>
          <w:rStyle w:val="Blue"/>
        </w:rPr>
        <w:t>ttention and memory functions are not mutually exclusive</w:t>
      </w:r>
      <w:r w:rsidR="00115FAA" w:rsidRPr="00D202E1">
        <w:rPr>
          <w:color w:val="000000" w:themeColor="text1"/>
        </w:rPr>
        <w:t>,</w:t>
      </w:r>
      <w:r w:rsidR="00D202E1">
        <w:rPr>
          <w:color w:val="000000" w:themeColor="text1"/>
        </w:rPr>
        <w:t xml:space="preserve"> </w:t>
      </w:r>
      <w:r w:rsidR="00115FAA" w:rsidRPr="00D202E1">
        <w:rPr>
          <w:color w:val="000000" w:themeColor="text1"/>
        </w:rPr>
        <w:t>especially as every step in the process of learning (input selection,</w:t>
      </w:r>
      <w:r>
        <w:rPr>
          <w:color w:val="000000" w:themeColor="text1"/>
        </w:rPr>
        <w:t xml:space="preserve"> </w:t>
      </w:r>
      <w:r w:rsidR="00115FAA" w:rsidRPr="00D202E1">
        <w:rPr>
          <w:color w:val="000000" w:themeColor="text1"/>
        </w:rPr>
        <w:t>manipulation in working memory, construction of associations for</w:t>
      </w:r>
      <w:r>
        <w:rPr>
          <w:color w:val="000000" w:themeColor="text1"/>
        </w:rPr>
        <w:t xml:space="preserve"> </w:t>
      </w:r>
      <w:r w:rsidR="00115FAA" w:rsidRPr="00D202E1">
        <w:rPr>
          <w:color w:val="000000" w:themeColor="text1"/>
        </w:rPr>
        <w:t>recall) is dependent upon attention (Sarter et al., 2003). Indeed,</w:t>
      </w:r>
      <w:r>
        <w:rPr>
          <w:color w:val="000000" w:themeColor="text1"/>
        </w:rPr>
        <w:t xml:space="preserve"> </w:t>
      </w:r>
      <w:r w:rsidR="00115FAA" w:rsidRPr="00D202E1">
        <w:rPr>
          <w:color w:val="000000" w:themeColor="text1"/>
        </w:rPr>
        <w:t>both human neuroimaging studies and computational modeling</w:t>
      </w:r>
      <w:r>
        <w:rPr>
          <w:color w:val="000000" w:themeColor="text1"/>
        </w:rPr>
        <w:t xml:space="preserve"> </w:t>
      </w:r>
      <w:r w:rsidR="00115FAA" w:rsidRPr="00D202E1">
        <w:rPr>
          <w:color w:val="000000" w:themeColor="text1"/>
        </w:rPr>
        <w:t xml:space="preserve">suggest that </w:t>
      </w:r>
      <w:r w:rsidR="00115FAA" w:rsidRPr="003D0325">
        <w:rPr>
          <w:b/>
          <w:i/>
          <w:color w:val="000000" w:themeColor="text1"/>
        </w:rPr>
        <w:t>cholinergic influences on sensory cortex serve both</w:t>
      </w:r>
      <w:r w:rsidRPr="003D0325">
        <w:rPr>
          <w:b/>
          <w:i/>
          <w:color w:val="000000" w:themeColor="text1"/>
        </w:rPr>
        <w:t xml:space="preserve"> </w:t>
      </w:r>
      <w:r w:rsidR="00115FAA" w:rsidRPr="003D0325">
        <w:rPr>
          <w:b/>
          <w:i/>
          <w:color w:val="000000" w:themeColor="text1"/>
        </w:rPr>
        <w:t>to enhance signal detection</w:t>
      </w:r>
      <w:r w:rsidR="00115FAA" w:rsidRPr="00D202E1">
        <w:rPr>
          <w:color w:val="000000" w:themeColor="text1"/>
        </w:rPr>
        <w:t xml:space="preserve"> (and thus attentional performance)</w:t>
      </w:r>
      <w:r>
        <w:rPr>
          <w:color w:val="000000" w:themeColor="text1"/>
        </w:rPr>
        <w:t xml:space="preserve"> </w:t>
      </w:r>
      <w:r w:rsidR="00115FAA" w:rsidRPr="003D0325">
        <w:rPr>
          <w:b/>
          <w:i/>
          <w:color w:val="000000" w:themeColor="text1"/>
        </w:rPr>
        <w:t>and by doing so facilitate the formation of novel input associations</w:t>
      </w:r>
      <w:r w:rsidR="00115FAA" w:rsidRPr="00D202E1">
        <w:rPr>
          <w:color w:val="000000" w:themeColor="text1"/>
        </w:rPr>
        <w:t xml:space="preserve"> (memory formation) (Bentley et al., 2009; Hasselmo and</w:t>
      </w:r>
      <w:r w:rsidR="00EF3758">
        <w:rPr>
          <w:color w:val="000000" w:themeColor="text1"/>
        </w:rPr>
        <w:t xml:space="preserve"> </w:t>
      </w:r>
      <w:r w:rsidR="00115FAA" w:rsidRPr="00D202E1">
        <w:rPr>
          <w:color w:val="000000" w:themeColor="text1"/>
        </w:rPr>
        <w:t>McGaughy, 2004).</w:t>
      </w:r>
    </w:p>
    <w:p w:rsidR="00115FAA" w:rsidRDefault="00115FAA" w:rsidP="00656414"/>
    <w:p w:rsidR="00115FAA" w:rsidRDefault="00115FAA" w:rsidP="00115FAA">
      <w:pPr>
        <w:pStyle w:val="Nervous6"/>
        <w:ind w:right="4162"/>
      </w:pPr>
      <w:bookmarkStart w:id="12" w:name="_Toc6655876"/>
      <w:r w:rsidRPr="00115FAA">
        <w:t>Function: modulation of the behavioural state</w:t>
      </w:r>
      <w:bookmarkEnd w:id="12"/>
    </w:p>
    <w:p w:rsidR="003B46C9" w:rsidRDefault="00115FAA" w:rsidP="003B46C9">
      <w:pPr>
        <w:pStyle w:val="ListParagraph"/>
        <w:numPr>
          <w:ilvl w:val="0"/>
          <w:numId w:val="10"/>
        </w:numPr>
      </w:pPr>
      <w:r w:rsidRPr="00115FAA">
        <w:t>cholinergic projections of the</w:t>
      </w:r>
      <w:r w:rsidR="003B46C9">
        <w:t xml:space="preserve"> </w:t>
      </w:r>
      <w:r w:rsidRPr="00115FAA">
        <w:t>NBM to the cortex are intimately involved in the regulation of corti</w:t>
      </w:r>
      <w:r w:rsidR="003B46C9">
        <w:t>cal activation and arousal.</w:t>
      </w:r>
    </w:p>
    <w:p w:rsidR="003B46C9" w:rsidRDefault="003B46C9" w:rsidP="003B46C9">
      <w:pPr>
        <w:pStyle w:val="ListParagraph"/>
        <w:numPr>
          <w:ilvl w:val="0"/>
          <w:numId w:val="10"/>
        </w:numPr>
      </w:pPr>
      <w:r>
        <w:t>e</w:t>
      </w:r>
      <w:r w:rsidR="00115FAA" w:rsidRPr="00115FAA">
        <w:t>lectrical stimulation of the rodent NBM,</w:t>
      </w:r>
      <w:r>
        <w:t xml:space="preserve"> </w:t>
      </w:r>
      <w:r w:rsidR="00115FAA" w:rsidRPr="00115FAA">
        <w:t xml:space="preserve">or optogenetic stimulation of its projection axons, can </w:t>
      </w:r>
      <w:r w:rsidR="00115FAA" w:rsidRPr="003B46C9">
        <w:rPr>
          <w:b/>
          <w:i/>
        </w:rPr>
        <w:t>directly</w:t>
      </w:r>
      <w:r w:rsidRPr="003B46C9">
        <w:rPr>
          <w:b/>
          <w:i/>
        </w:rPr>
        <w:t xml:space="preserve"> </w:t>
      </w:r>
      <w:r w:rsidR="00115FAA" w:rsidRPr="003B46C9">
        <w:rPr>
          <w:b/>
          <w:i/>
        </w:rPr>
        <w:t>desynchronize the neocortical EEG</w:t>
      </w:r>
      <w:r w:rsidR="00115FAA" w:rsidRPr="00115FAA">
        <w:t xml:space="preserve"> and induce fast gamma oscillations indicative of the awake and alert state (Kalmbach et al.</w:t>
      </w:r>
      <w:r>
        <w:t>,2012; Metherate et al., 1992).</w:t>
      </w:r>
    </w:p>
    <w:p w:rsidR="003B46C9" w:rsidRDefault="003B46C9" w:rsidP="003B46C9">
      <w:pPr>
        <w:pStyle w:val="ListParagraph"/>
        <w:numPr>
          <w:ilvl w:val="0"/>
          <w:numId w:val="10"/>
        </w:numPr>
      </w:pPr>
      <w:r>
        <w:t>c</w:t>
      </w:r>
      <w:r w:rsidR="00115FAA" w:rsidRPr="00115FAA">
        <w:t>onversely</w:t>
      </w:r>
      <w:r>
        <w:t>,</w:t>
      </w:r>
      <w:r w:rsidR="00115FAA" w:rsidRPr="00115FAA">
        <w:t xml:space="preserve"> lesions in the rodent</w:t>
      </w:r>
      <w:r>
        <w:t xml:space="preserve"> </w:t>
      </w:r>
      <w:r w:rsidR="00115FAA" w:rsidRPr="00115FAA">
        <w:t>NBM prevent cortical EEG desynchronisation and instead produce</w:t>
      </w:r>
      <w:r>
        <w:t xml:space="preserve"> </w:t>
      </w:r>
      <w:r w:rsidR="00115FAA" w:rsidRPr="00115FAA">
        <w:t>slow synchronized delta waves (typical of the sleep state) with</w:t>
      </w:r>
      <w:r>
        <w:t xml:space="preserve"> </w:t>
      </w:r>
      <w:r w:rsidR="00115FAA" w:rsidRPr="00115FAA">
        <w:t>corresponding behavioural unresponsiveness/coma (Buzsáki et al.,1988; Fuller et al., 2011).</w:t>
      </w:r>
    </w:p>
    <w:p w:rsidR="00EA1074" w:rsidRDefault="00115FAA" w:rsidP="003B46C9">
      <w:pPr>
        <w:pStyle w:val="ListParagraph"/>
        <w:numPr>
          <w:ilvl w:val="0"/>
          <w:numId w:val="10"/>
        </w:numPr>
      </w:pPr>
      <w:r w:rsidRPr="00EA1074">
        <w:rPr>
          <w:rStyle w:val="Red"/>
        </w:rPr>
        <w:t>NBM may be the structural basis for the concept</w:t>
      </w:r>
      <w:r w:rsidR="00EF3758" w:rsidRPr="00EA1074">
        <w:rPr>
          <w:rStyle w:val="Red"/>
        </w:rPr>
        <w:t xml:space="preserve"> </w:t>
      </w:r>
      <w:r w:rsidRPr="00EA1074">
        <w:rPr>
          <w:rStyle w:val="Red"/>
        </w:rPr>
        <w:t>of generalized ascending activation to the cortex</w:t>
      </w:r>
      <w:r w:rsidRPr="00115FAA">
        <w:t xml:space="preserve"> as originally pro-pose</w:t>
      </w:r>
      <w:r w:rsidR="00EA1074">
        <w:t>d by Moruzzi and Magoun (1949).</w:t>
      </w:r>
    </w:p>
    <w:p w:rsidR="00EA1074" w:rsidRDefault="00115FAA" w:rsidP="003B46C9">
      <w:pPr>
        <w:pStyle w:val="ListParagraph"/>
        <w:numPr>
          <w:ilvl w:val="0"/>
          <w:numId w:val="10"/>
        </w:numPr>
      </w:pPr>
      <w:r w:rsidRPr="00115FAA">
        <w:t>NBM occupies a key</w:t>
      </w:r>
      <w:r w:rsidR="00EF3758">
        <w:t xml:space="preserve"> </w:t>
      </w:r>
      <w:r w:rsidRPr="00115FAA">
        <w:t>position in the arousal network to fulf</w:t>
      </w:r>
      <w:r w:rsidR="00EF3758">
        <w:t>ill such a role, receiving nora</w:t>
      </w:r>
      <w:r w:rsidRPr="00115FAA">
        <w:t>drenergic projections from the locus coeruleus (Gaspar et al., 1985)</w:t>
      </w:r>
      <w:r w:rsidR="00EA1074">
        <w:t xml:space="preserve"> </w:t>
      </w:r>
      <w:r w:rsidRPr="00115FAA">
        <w:t>and appearing to have a reciprocal relation</w:t>
      </w:r>
      <w:r w:rsidR="00EF3758">
        <w:t>ship with the orexiner</w:t>
      </w:r>
      <w:r w:rsidRPr="00115FAA">
        <w:t>gic neurons of the hypothalamus, with an interplay between the</w:t>
      </w:r>
      <w:r w:rsidR="00EF3758">
        <w:t xml:space="preserve"> </w:t>
      </w:r>
      <w:r w:rsidRPr="00115FAA">
        <w:t>two appearing to control the wakeful/aroused state (Jones, 2008).</w:t>
      </w:r>
    </w:p>
    <w:p w:rsidR="000F2F9E" w:rsidRDefault="00115FAA" w:rsidP="003B46C9">
      <w:pPr>
        <w:pStyle w:val="ListParagraph"/>
        <w:numPr>
          <w:ilvl w:val="0"/>
          <w:numId w:val="10"/>
        </w:numPr>
      </w:pPr>
      <w:r w:rsidRPr="00115FAA">
        <w:t>Lee et al. demonstrate that basal forebrain cholinergic neurons</w:t>
      </w:r>
      <w:r>
        <w:t xml:space="preserve"> </w:t>
      </w:r>
      <w:r w:rsidRPr="00115FAA">
        <w:t>in the rat discharge maximally in awake states (Lee et al., 2005),</w:t>
      </w:r>
      <w:r w:rsidR="00EA1074">
        <w:t xml:space="preserve"> </w:t>
      </w:r>
      <w:r w:rsidRPr="00115FAA">
        <w:t>and that their activity strongly correlates with both cortical gamma</w:t>
      </w:r>
      <w:r>
        <w:t xml:space="preserve"> </w:t>
      </w:r>
      <w:r w:rsidRPr="00115FAA">
        <w:t>activity (which reflects cortical arousal (Maloney et al., 1997)), and</w:t>
      </w:r>
      <w:r w:rsidR="00EF3758">
        <w:t xml:space="preserve"> </w:t>
      </w:r>
      <w:r w:rsidRPr="00115FAA">
        <w:t>cortical theta oscillations (which can promote synaptic plasticity(Huerta and Lisman, 1993)). These results suggest that the NBM</w:t>
      </w:r>
      <w:r>
        <w:t xml:space="preserve"> </w:t>
      </w:r>
      <w:r w:rsidRPr="00115FAA">
        <w:t>can indeed drive cortical activation via gamma rhythms and, in conjunction with the discussion above, simultaneously induce cortical</w:t>
      </w:r>
      <w:r w:rsidR="00EA1074">
        <w:t xml:space="preserve"> </w:t>
      </w:r>
      <w:r w:rsidRPr="00115FAA">
        <w:t>plasticity via theta rhythms during attentive waking periods.</w:t>
      </w:r>
    </w:p>
    <w:p w:rsidR="000F2F9E" w:rsidRDefault="000F2F9E" w:rsidP="000F2F9E"/>
    <w:p w:rsidR="00115FAA" w:rsidRDefault="00115FAA" w:rsidP="000F2F9E">
      <w:r w:rsidRPr="00115FAA">
        <w:t>Drawing all the evidence together, one can hypothesize that the</w:t>
      </w:r>
      <w:r w:rsidR="00EF3758">
        <w:t xml:space="preserve"> </w:t>
      </w:r>
      <w:r w:rsidRPr="00115FAA">
        <w:t>function of the NBM is to modulate the overall behavioural state to one of activation or “readiness”, during which there is</w:t>
      </w:r>
      <w:r w:rsidR="000F2F9E">
        <w:t xml:space="preserve"> </w:t>
      </w:r>
      <w:r w:rsidRPr="00115FAA">
        <w:t>perceptual enhancement and a lowered threshold to induce mem-ory for salient stimuli (Hasselmo and Sarter, 2011). The behavioural</w:t>
      </w:r>
      <w:r w:rsidR="00EF3758">
        <w:t xml:space="preserve"> </w:t>
      </w:r>
      <w:r w:rsidRPr="00115FAA">
        <w:t>correlate of this would be a state of enhanced cognitive function,</w:t>
      </w:r>
      <w:r w:rsidR="00EF3758">
        <w:t xml:space="preserve"> </w:t>
      </w:r>
      <w:r w:rsidRPr="00115FAA">
        <w:t>with improved attention, perception and an improved ability to</w:t>
      </w:r>
      <w:r w:rsidR="00EF3758">
        <w:t xml:space="preserve"> </w:t>
      </w:r>
      <w:r w:rsidRPr="00115FAA">
        <w:t>process and learn new information. It follows that degeneration of</w:t>
      </w:r>
      <w:r w:rsidR="00EF3758">
        <w:t xml:space="preserve"> </w:t>
      </w:r>
      <w:r w:rsidRPr="00115FAA">
        <w:t>the NBM would impair the inducti</w:t>
      </w:r>
      <w:r w:rsidR="00EF3758">
        <w:t>on of this activated state, mak</w:t>
      </w:r>
      <w:r w:rsidRPr="00115FAA">
        <w:t>ing direction of attention, perception of stimuli and forming new</w:t>
      </w:r>
      <w:r w:rsidR="00EF3758">
        <w:t xml:space="preserve"> </w:t>
      </w:r>
      <w:r w:rsidRPr="00115FAA">
        <w:t>memories more difficult, as is the case in dementia.</w:t>
      </w:r>
    </w:p>
    <w:p w:rsidR="00A700AD" w:rsidRDefault="00A700AD" w:rsidP="00656414"/>
    <w:p w:rsidR="003400CC" w:rsidRDefault="003400CC" w:rsidP="00656414">
      <w:r>
        <w:t>A</w:t>
      </w:r>
      <w:r w:rsidRPr="003400CC">
        <w:t xml:space="preserve">mple experimental evidence has been accumulated supporting the role of the NBM for </w:t>
      </w:r>
      <w:r w:rsidR="006F2364">
        <w:t>neo</w:t>
      </w:r>
      <w:r w:rsidRPr="003400CC">
        <w:t xml:space="preserve">cortical </w:t>
      </w:r>
      <w:r w:rsidR="001E1B9C">
        <w:t xml:space="preserve">“background </w:t>
      </w:r>
      <w:r w:rsidRPr="003400CC">
        <w:t>tuning</w:t>
      </w:r>
      <w:r w:rsidR="001E1B9C">
        <w:t>”</w:t>
      </w:r>
      <w:r w:rsidRPr="003400CC">
        <w:t xml:space="preserve"> and the consequences of the breakdown of this action by degeneration of this nucleus in the earliest stages of dementia</w:t>
      </w:r>
      <w:r>
        <w:t>.</w:t>
      </w:r>
    </w:p>
    <w:p w:rsidR="00115FAA" w:rsidRDefault="00115FAA" w:rsidP="00656414"/>
    <w:p w:rsidR="003400CC" w:rsidRPr="002271B5" w:rsidRDefault="003400CC" w:rsidP="00656414"/>
    <w:p w:rsidR="00656414" w:rsidRPr="002271B5" w:rsidRDefault="00656414" w:rsidP="002271B5">
      <w:pPr>
        <w:pStyle w:val="Nervous1"/>
      </w:pPr>
      <w:bookmarkStart w:id="13" w:name="_Toc6655877"/>
      <w:r w:rsidRPr="002271B5">
        <w:t>Clinical significance</w:t>
      </w:r>
      <w:bookmarkEnd w:id="13"/>
    </w:p>
    <w:p w:rsidR="00B12A02" w:rsidRDefault="00B12A02" w:rsidP="00B12A02">
      <w:pPr>
        <w:pStyle w:val="Articlename"/>
      </w:pPr>
      <w:r w:rsidRPr="00A700AD">
        <w:t>James Gratwicke et al. The nucleus basalis of Meynert: A new target for deep brain stimulation in dementia? Neuroscience and Biobehavioral Reviews 37 (2013) 2676–2688</w:t>
      </w:r>
    </w:p>
    <w:p w:rsidR="00B12A02" w:rsidRDefault="00B12A02" w:rsidP="00656414"/>
    <w:p w:rsidR="00F53CBA" w:rsidRDefault="0055581D" w:rsidP="000F2F9E">
      <w:pPr>
        <w:pStyle w:val="ListParagraph"/>
        <w:numPr>
          <w:ilvl w:val="0"/>
          <w:numId w:val="10"/>
        </w:numPr>
      </w:pPr>
      <w:r w:rsidRPr="0055581D">
        <w:t>up to 96% of NBM neurons are lost in both AD and PDD patients</w:t>
      </w:r>
      <w:r>
        <w:t xml:space="preserve"> </w:t>
      </w:r>
      <w:r w:rsidRPr="0055581D">
        <w:t>compared</w:t>
      </w:r>
      <w:r>
        <w:t xml:space="preserve"> </w:t>
      </w:r>
      <w:r w:rsidRPr="0055581D">
        <w:t>to age-matched controls (Candy et al., 1983; Etienneet al., 1986; Gaspar and Gray, 1984; Whitehouse et al., 1983, 1981).</w:t>
      </w:r>
      <w:r w:rsidR="000F2F9E">
        <w:t xml:space="preserve"> </w:t>
      </w:r>
      <w:r w:rsidRPr="0055581D">
        <w:t>Strong correlations have been shown between NBM neuronal loss,</w:t>
      </w:r>
      <w:r w:rsidR="003D0EFB">
        <w:t xml:space="preserve"> </w:t>
      </w:r>
      <w:r w:rsidRPr="0055581D">
        <w:t>resultant cortical cholinergic deficits and the degree of cognitive</w:t>
      </w:r>
      <w:r w:rsidR="003D0EFB">
        <w:t xml:space="preserve"> </w:t>
      </w:r>
      <w:r w:rsidRPr="0055581D">
        <w:t>impairment in both diseases (Etienne et al., 1986; Gilmor et al.,1999; Perry et al., 1985). Notably, pathological involvement of</w:t>
      </w:r>
      <w:r w:rsidR="00F53CBA">
        <w:t xml:space="preserve"> </w:t>
      </w:r>
      <w:r w:rsidRPr="0055581D">
        <w:t>the NBM cholinergic system differs between the two dementias,</w:t>
      </w:r>
      <w:r w:rsidR="003261C0">
        <w:t xml:space="preserve"> </w:t>
      </w:r>
      <w:r w:rsidRPr="0055581D">
        <w:t xml:space="preserve">with </w:t>
      </w:r>
      <w:r w:rsidRPr="00F53CBA">
        <w:rPr>
          <w:b/>
          <w:i/>
        </w:rPr>
        <w:t>loss of NBM cell bodies being more extensive in PD, while</w:t>
      </w:r>
      <w:r w:rsidR="003261C0" w:rsidRPr="00F53CBA">
        <w:rPr>
          <w:b/>
          <w:i/>
        </w:rPr>
        <w:t xml:space="preserve"> </w:t>
      </w:r>
      <w:r w:rsidRPr="00F53CBA">
        <w:rPr>
          <w:b/>
          <w:i/>
        </w:rPr>
        <w:t>degeneration of the cholinergic projection axons is predominant in</w:t>
      </w:r>
      <w:r w:rsidR="00F53CBA" w:rsidRPr="00F53CBA">
        <w:rPr>
          <w:b/>
          <w:i/>
        </w:rPr>
        <w:t xml:space="preserve"> </w:t>
      </w:r>
      <w:r w:rsidRPr="00F53CBA">
        <w:rPr>
          <w:b/>
          <w:i/>
        </w:rPr>
        <w:t>AD</w:t>
      </w:r>
      <w:r w:rsidRPr="0055581D">
        <w:t>, although both produce a common cortical cholinergic deficit</w:t>
      </w:r>
      <w:r w:rsidR="003261C0">
        <w:t xml:space="preserve"> </w:t>
      </w:r>
      <w:r w:rsidRPr="0055581D">
        <w:t>(Candy et al., 1983; Perry et al., 1985).</w:t>
      </w:r>
    </w:p>
    <w:p w:rsidR="00B12A02" w:rsidRDefault="00F53CBA" w:rsidP="000F2F9E">
      <w:pPr>
        <w:pStyle w:val="ListParagraph"/>
        <w:numPr>
          <w:ilvl w:val="0"/>
          <w:numId w:val="10"/>
        </w:numPr>
      </w:pPr>
      <w:r>
        <w:t>v</w:t>
      </w:r>
      <w:r w:rsidR="0055581D" w:rsidRPr="0055581D">
        <w:t>olumetric MR neuroimaging confirms that significant NBM</w:t>
      </w:r>
      <w:r w:rsidR="003261C0">
        <w:t xml:space="preserve"> </w:t>
      </w:r>
      <w:r w:rsidR="0055581D" w:rsidRPr="0055581D">
        <w:t>degeneration occurs in both AD and PDD patients in vivo relative</w:t>
      </w:r>
      <w:r w:rsidR="003261C0">
        <w:t xml:space="preserve"> </w:t>
      </w:r>
      <w:r w:rsidR="0055581D" w:rsidRPr="0055581D">
        <w:t xml:space="preserve">to age-matched controls, and that the </w:t>
      </w:r>
      <w:r w:rsidR="0055581D" w:rsidRPr="00F53CBA">
        <w:rPr>
          <w:b/>
          <w:i/>
        </w:rPr>
        <w:t>degree of atrophy correlates</w:t>
      </w:r>
      <w:r w:rsidR="003261C0" w:rsidRPr="00F53CBA">
        <w:rPr>
          <w:b/>
          <w:i/>
        </w:rPr>
        <w:t xml:space="preserve"> </w:t>
      </w:r>
      <w:r w:rsidR="0055581D" w:rsidRPr="00F53CBA">
        <w:rPr>
          <w:b/>
          <w:i/>
        </w:rPr>
        <w:t>significantly with cognitive decline</w:t>
      </w:r>
      <w:r w:rsidR="0055581D" w:rsidRPr="0055581D">
        <w:t xml:space="preserve"> on objective measures such</w:t>
      </w:r>
      <w:r w:rsidR="003261C0">
        <w:t xml:space="preserve"> </w:t>
      </w:r>
      <w:r w:rsidR="0055581D" w:rsidRPr="0055581D">
        <w:t>as the mini-mental state examination (MMSE) (Choi et al., 2012;Hanyu et al., 2002). Greater N</w:t>
      </w:r>
      <w:r w:rsidR="003261C0">
        <w:t>BM atrophy at baseline also pre</w:t>
      </w:r>
      <w:r w:rsidR="0055581D" w:rsidRPr="0055581D">
        <w:t>dicts the later development of dementia in PD (Lee et al., 2013c).Voxel-based morphometric anal</w:t>
      </w:r>
      <w:r w:rsidR="003261C0">
        <w:t>yses additionally show that vol</w:t>
      </w:r>
      <w:r w:rsidR="0055581D" w:rsidRPr="0055581D">
        <w:t>ume reduction in Ch4p in particular is correlated with impaired</w:t>
      </w:r>
      <w:r w:rsidR="003261C0">
        <w:t xml:space="preserve"> </w:t>
      </w:r>
      <w:r w:rsidR="0055581D" w:rsidRPr="0055581D">
        <w:t>delayed recall in these patients (Grot</w:t>
      </w:r>
      <w:r w:rsidR="003261C0">
        <w:t>he et al., 2012, 2010). Further</w:t>
      </w:r>
      <w:r w:rsidR="0055581D" w:rsidRPr="0055581D">
        <w:t>more, proton-density weighted MRI signal in the NBM is reduced</w:t>
      </w:r>
      <w:r w:rsidR="003261C0">
        <w:t xml:space="preserve"> </w:t>
      </w:r>
      <w:r w:rsidR="0055581D" w:rsidRPr="0055581D">
        <w:t>in AD patients compared to controls and correlates with reduced</w:t>
      </w:r>
      <w:r w:rsidR="003261C0">
        <w:t xml:space="preserve"> </w:t>
      </w:r>
      <w:r w:rsidR="0055581D" w:rsidRPr="0055581D">
        <w:t>grey matter concentration in prefr</w:t>
      </w:r>
      <w:r w:rsidR="003261C0">
        <w:t>ontal cortex, the inferior pari</w:t>
      </w:r>
      <w:r w:rsidR="0055581D" w:rsidRPr="0055581D">
        <w:t>etal lobule and the cingulate gyrus, suggesting a degenerative link</w:t>
      </w:r>
      <w:r w:rsidR="003261C0">
        <w:t xml:space="preserve"> </w:t>
      </w:r>
      <w:r w:rsidR="0055581D" w:rsidRPr="0055581D">
        <w:t xml:space="preserve">(Teipel et al., 2005). </w:t>
      </w:r>
      <w:r w:rsidR="003261C0">
        <w:t>D</w:t>
      </w:r>
      <w:r>
        <w:t>T</w:t>
      </w:r>
      <w:r w:rsidR="003261C0">
        <w:t>I</w:t>
      </w:r>
      <w:r w:rsidR="0055581D" w:rsidRPr="0055581D">
        <w:t xml:space="preserve"> also confirms that</w:t>
      </w:r>
      <w:r w:rsidR="003261C0">
        <w:t xml:space="preserve"> </w:t>
      </w:r>
      <w:r w:rsidR="0055581D" w:rsidRPr="0055581D">
        <w:t>the NBM cholinergic projection axons degenerate in AD patients</w:t>
      </w:r>
      <w:r w:rsidR="003261C0">
        <w:t xml:space="preserve"> </w:t>
      </w:r>
      <w:r w:rsidR="0055581D" w:rsidRPr="0055581D">
        <w:t>(Teipel et al., 2011).</w:t>
      </w:r>
      <w:r w:rsidR="003261C0">
        <w:t xml:space="preserve"> </w:t>
      </w:r>
      <w:r w:rsidR="0055581D" w:rsidRPr="0055581D">
        <w:t>To complement these findings functional imaging using</w:t>
      </w:r>
      <w:r w:rsidR="003261C0">
        <w:t xml:space="preserve"> </w:t>
      </w:r>
      <w:r>
        <w:t>PET</w:t>
      </w:r>
      <w:r w:rsidR="0055581D" w:rsidRPr="0055581D">
        <w:t xml:space="preserve"> reveals in vivo cortical cholinergic deficits in both AD and PDD patients. Using a radioligand to</w:t>
      </w:r>
      <w:r w:rsidR="008E7979">
        <w:t xml:space="preserve"> </w:t>
      </w:r>
      <w:r w:rsidR="0055581D" w:rsidRPr="0055581D">
        <w:t>AChE, Bohnen et al. (2003) show that in PDD and AD of similar</w:t>
      </w:r>
      <w:r w:rsidR="008E7979">
        <w:t xml:space="preserve"> </w:t>
      </w:r>
      <w:r w:rsidR="0055581D" w:rsidRPr="0055581D">
        <w:t>dementia severity, mean cortical AChE activity is reduced by 20%</w:t>
      </w:r>
      <w:r w:rsidR="008E7979">
        <w:t xml:space="preserve"> </w:t>
      </w:r>
      <w:r w:rsidR="0055581D" w:rsidRPr="0055581D">
        <w:t>and 9% respectively compared to controls. Not only does this confirm that cortical cholinergic deficits are present in vivo in both</w:t>
      </w:r>
      <w:r w:rsidR="008E7979">
        <w:t xml:space="preserve"> </w:t>
      </w:r>
      <w:r w:rsidR="0055581D" w:rsidRPr="0055581D">
        <w:t xml:space="preserve">types of dementia, but also that these </w:t>
      </w:r>
      <w:r w:rsidR="0055581D" w:rsidRPr="00F53CBA">
        <w:rPr>
          <w:rStyle w:val="Red"/>
        </w:rPr>
        <w:t>deficits occur earlier and</w:t>
      </w:r>
      <w:r w:rsidR="008E7979" w:rsidRPr="00F53CBA">
        <w:rPr>
          <w:rStyle w:val="Red"/>
        </w:rPr>
        <w:t xml:space="preserve"> </w:t>
      </w:r>
      <w:r w:rsidR="0055581D" w:rsidRPr="00F53CBA">
        <w:rPr>
          <w:rStyle w:val="Red"/>
        </w:rPr>
        <w:t>are more widespread in PDD compared to AD</w:t>
      </w:r>
      <w:r w:rsidR="0055581D" w:rsidRPr="0055581D">
        <w:t xml:space="preserve"> (in agreement with</w:t>
      </w:r>
      <w:r w:rsidR="008E7979">
        <w:t xml:space="preserve"> </w:t>
      </w:r>
      <w:r w:rsidR="0055581D" w:rsidRPr="0055581D">
        <w:t>the neuropathological results of Perry et al. (1985) above). Further studies in PDD using the same radioligand establish close</w:t>
      </w:r>
      <w:r>
        <w:t xml:space="preserve"> </w:t>
      </w:r>
      <w:r w:rsidR="0055581D" w:rsidRPr="0055581D">
        <w:t>correlations between the degree of reduction of cortical AChE activity in these patients and their scores on the MMSE (p &lt; 0.005)</w:t>
      </w:r>
      <w:r>
        <w:t xml:space="preserve"> </w:t>
      </w:r>
      <w:r w:rsidR="0055581D" w:rsidRPr="0055581D">
        <w:t>and on the WAIS-III digit span test (a test of working memory and attention, p &lt; 0.005) (Bohnen et al., 2006; Shimada et al.,2009).</w:t>
      </w:r>
      <w:r>
        <w:t xml:space="preserve"> </w:t>
      </w:r>
      <w:r w:rsidR="0055581D" w:rsidRPr="0055581D">
        <w:t>Taken altogether the above results indicate that NBM neurons and their cortical projections degenerate significantly in both</w:t>
      </w:r>
      <w:r w:rsidR="001004EB">
        <w:t xml:space="preserve"> </w:t>
      </w:r>
      <w:r w:rsidR="0055581D" w:rsidRPr="0055581D">
        <w:t>PDD and AD, and that this neuronal loss within the single major</w:t>
      </w:r>
      <w:r w:rsidR="001004EB">
        <w:t xml:space="preserve"> </w:t>
      </w:r>
      <w:r w:rsidR="0055581D" w:rsidRPr="0055581D">
        <w:t>cholinergic projection system to the entire neocortex is plausibly</w:t>
      </w:r>
      <w:r>
        <w:t xml:space="preserve"> </w:t>
      </w:r>
      <w:r w:rsidR="0055581D" w:rsidRPr="0055581D">
        <w:t>responsible for the deficits in cortical cholinergic function which</w:t>
      </w:r>
      <w:r w:rsidR="001004EB">
        <w:t xml:space="preserve"> </w:t>
      </w:r>
      <w:r w:rsidR="0055581D" w:rsidRPr="0055581D">
        <w:t>are characteristic of both diseases. The results also suggest this</w:t>
      </w:r>
      <w:r w:rsidR="001004EB">
        <w:t xml:space="preserve"> </w:t>
      </w:r>
      <w:r w:rsidR="0055581D" w:rsidRPr="0055581D">
        <w:t>cortical cholinergic deficit is one of the major causes of cognitive</w:t>
      </w:r>
      <w:r>
        <w:t xml:space="preserve"> </w:t>
      </w:r>
      <w:r w:rsidR="0055581D" w:rsidRPr="0055581D">
        <w:t>dysfunction in dementia.</w:t>
      </w:r>
    </w:p>
    <w:p w:rsidR="00B12A02" w:rsidRDefault="00B12A02" w:rsidP="00656414"/>
    <w:p w:rsidR="00B12A02" w:rsidRDefault="00B12A02" w:rsidP="00656414">
      <w:pPr>
        <w:pBdr>
          <w:bottom w:val="single" w:sz="6" w:space="1" w:color="auto"/>
        </w:pBdr>
      </w:pPr>
    </w:p>
    <w:p w:rsidR="00B12A02" w:rsidRDefault="00B12A02" w:rsidP="00656414"/>
    <w:p w:rsidR="00B12A02" w:rsidRDefault="00B12A02" w:rsidP="00656414"/>
    <w:p w:rsidR="00656414" w:rsidRPr="002271B5" w:rsidRDefault="00656414" w:rsidP="00656414">
      <w:r w:rsidRPr="002271B5">
        <w:t>In </w:t>
      </w:r>
      <w:hyperlink r:id="rId34" w:tooltip="Parkinson's disease" w:history="1">
        <w:r w:rsidRPr="002271B5">
          <w:t>Parkinson'</w:t>
        </w:r>
      </w:hyperlink>
      <w:r w:rsidRPr="002271B5">
        <w:t> and Alzheimer's diseases, the nucleus basalis undergoes degeneration. A decrease in acetylcholine production is seen in Alzheimer's disease, </w:t>
      </w:r>
      <w:hyperlink r:id="rId35" w:tooltip="Lewy body dementia" w:history="1">
        <w:r w:rsidRPr="002271B5">
          <w:t>Lewy body dementia</w:t>
        </w:r>
      </w:hyperlink>
      <w:r w:rsidRPr="002271B5">
        <w:t>,</w:t>
      </w:r>
      <w:r w:rsidR="002271B5">
        <w:t xml:space="preserve"> </w:t>
      </w:r>
      <w:r w:rsidRPr="002271B5">
        <w:t>Pick's disease, and some Parkinson's disease patients showing abnormal brain function, leading to a general decrease in mental capacity and learning.</w:t>
      </w:r>
    </w:p>
    <w:p w:rsidR="00656414" w:rsidRDefault="00656414" w:rsidP="00656414">
      <w:r w:rsidRPr="002271B5">
        <w:t>Most pharmacological treatments of dementia focus on compensating for a faltering NBM function through artificially increasing acetylcholine levels.</w:t>
      </w:r>
    </w:p>
    <w:p w:rsidR="00DC025A" w:rsidRDefault="00DC025A" w:rsidP="00656414"/>
    <w:p w:rsidR="00DC025A" w:rsidRDefault="00DC025A" w:rsidP="00656414">
      <w:r w:rsidRPr="00DC025A">
        <w:t xml:space="preserve">significant reductions of the substantia innominata in both AD and patients with Lewy bodies dementia, although the pattern of cortical atrophy </w:t>
      </w:r>
      <w:r>
        <w:t>is</w:t>
      </w:r>
      <w:r w:rsidRPr="00DC025A">
        <w:t xml:space="preserve"> markedly different between both clinical populations [Whitwell et al., 2007].</w:t>
      </w:r>
    </w:p>
    <w:p w:rsidR="009B3254" w:rsidRDefault="009B3254" w:rsidP="00656414"/>
    <w:p w:rsidR="009B3254" w:rsidRDefault="009B3254" w:rsidP="00656414">
      <w:r w:rsidRPr="009B3254">
        <w:t xml:space="preserve">significantly increased risk to develop dementia was found over 4 years follow-up in cognitively normal subjects with atrophy of the </w:t>
      </w:r>
      <w:r>
        <w:t>basal forebrain</w:t>
      </w:r>
      <w:r w:rsidRPr="009B3254">
        <w:t xml:space="preserve"> at baseline [Hall et al., 2008].</w:t>
      </w:r>
    </w:p>
    <w:p w:rsidR="009B3254" w:rsidRDefault="009B3254" w:rsidP="00656414"/>
    <w:p w:rsidR="009B3254" w:rsidRPr="002271B5" w:rsidRDefault="009B3254" w:rsidP="00656414">
      <w:r w:rsidRPr="009B3254">
        <w:t>Cholinergic fibers innervating the cerebral cortex originate mainly from the NbM Ch4 region [Mesulam and Geula, 1988], and their spatial distribution was determined in one seminal study of postmortem sections [Selden et al., 1998].</w:t>
      </w:r>
    </w:p>
    <w:p w:rsidR="00656414" w:rsidRPr="002271B5" w:rsidRDefault="00656414" w:rsidP="003755D2"/>
    <w:p w:rsidR="00BD07A2" w:rsidRPr="00BD07A2" w:rsidRDefault="00BD07A2" w:rsidP="00BD07A2">
      <w:pPr>
        <w:pStyle w:val="Heading1"/>
        <w:shd w:val="clear" w:color="auto" w:fill="FFFFFF"/>
        <w:spacing w:before="0" w:line="288" w:lineRule="atLeast"/>
        <w:rPr>
          <w:rFonts w:ascii="Arial" w:hAnsi="Arial" w:cs="Arial"/>
          <w:color w:val="333333"/>
          <w:sz w:val="18"/>
          <w:szCs w:val="18"/>
          <w:u w:val="single"/>
        </w:rPr>
      </w:pPr>
      <w:r w:rsidRPr="00BD07A2">
        <w:rPr>
          <w:rFonts w:ascii="Arial" w:hAnsi="Arial" w:cs="Arial"/>
          <w:color w:val="333333"/>
          <w:sz w:val="18"/>
          <w:szCs w:val="18"/>
          <w:u w:val="single"/>
        </w:rPr>
        <w:t>Connections, Cognition and Alzheimer’s Disease</w:t>
      </w:r>
    </w:p>
    <w:p w:rsidR="00656414" w:rsidRPr="00BD07A2" w:rsidRDefault="00BD07A2" w:rsidP="00BD07A2">
      <w:pPr>
        <w:rPr>
          <w:u w:val="single"/>
        </w:rPr>
      </w:pPr>
      <w:r w:rsidRPr="00BD07A2">
        <w:rPr>
          <w:rStyle w:val="addmd"/>
          <w:rFonts w:ascii="Arial" w:hAnsi="Arial" w:cs="Arial"/>
          <w:color w:val="333333"/>
          <w:sz w:val="13"/>
          <w:szCs w:val="13"/>
          <w:u w:val="single"/>
          <w:shd w:val="clear" w:color="auto" w:fill="FFFFFF"/>
        </w:rPr>
        <w:t>redagavo Bradley T. Hyman,Charles Duyckaerts</w:t>
      </w:r>
    </w:p>
    <w:p w:rsidR="00492509" w:rsidRDefault="00492509" w:rsidP="003755D2"/>
    <w:p w:rsidR="00492509" w:rsidRDefault="00492509" w:rsidP="003755D2">
      <w:r>
        <w:rPr>
          <w:noProof/>
        </w:rPr>
        <w:drawing>
          <wp:inline distT="0" distB="0" distL="0" distR="0" wp14:anchorId="2BA7A55C" wp14:editId="1EDC1A12">
            <wp:extent cx="6300470" cy="355092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00470" cy="3550920"/>
                    </a:xfrm>
                    <a:prstGeom prst="rect">
                      <a:avLst/>
                    </a:prstGeom>
                  </pic:spPr>
                </pic:pic>
              </a:graphicData>
            </a:graphic>
          </wp:inline>
        </w:drawing>
      </w:r>
    </w:p>
    <w:p w:rsidR="00492509" w:rsidRDefault="00492509" w:rsidP="003755D2">
      <w:r>
        <w:rPr>
          <w:noProof/>
        </w:rPr>
        <w:drawing>
          <wp:inline distT="0" distB="0" distL="0" distR="0" wp14:anchorId="3185DA89" wp14:editId="39548CCD">
            <wp:extent cx="6300470" cy="1829435"/>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00470" cy="1829435"/>
                    </a:xfrm>
                    <a:prstGeom prst="rect">
                      <a:avLst/>
                    </a:prstGeom>
                  </pic:spPr>
                </pic:pic>
              </a:graphicData>
            </a:graphic>
          </wp:inline>
        </w:drawing>
      </w:r>
    </w:p>
    <w:p w:rsidR="00492509" w:rsidRDefault="00492509" w:rsidP="003755D2">
      <w:r>
        <w:rPr>
          <w:noProof/>
        </w:rPr>
        <w:drawing>
          <wp:inline distT="0" distB="0" distL="0" distR="0" wp14:anchorId="635E492B" wp14:editId="3A0B5A71">
            <wp:extent cx="6300470" cy="2520315"/>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00470" cy="2520315"/>
                    </a:xfrm>
                    <a:prstGeom prst="rect">
                      <a:avLst/>
                    </a:prstGeom>
                  </pic:spPr>
                </pic:pic>
              </a:graphicData>
            </a:graphic>
          </wp:inline>
        </w:drawing>
      </w:r>
    </w:p>
    <w:p w:rsidR="00D84F3E" w:rsidRDefault="00D84F3E" w:rsidP="003755D2"/>
    <w:p w:rsidR="00D84F3E" w:rsidRDefault="00D84F3E" w:rsidP="003755D2"/>
    <w:p w:rsidR="00D84F3E" w:rsidRPr="00D84F3E" w:rsidRDefault="00D84F3E" w:rsidP="00D84F3E">
      <w:pPr>
        <w:pStyle w:val="Heading1"/>
        <w:shd w:val="clear" w:color="auto" w:fill="FFFFFF"/>
        <w:spacing w:before="0" w:line="288" w:lineRule="atLeast"/>
        <w:rPr>
          <w:rFonts w:ascii="Arial" w:hAnsi="Arial" w:cs="Arial"/>
          <w:color w:val="333333"/>
          <w:sz w:val="18"/>
          <w:szCs w:val="18"/>
          <w:u w:val="single"/>
        </w:rPr>
      </w:pPr>
      <w:r w:rsidRPr="00D84F3E">
        <w:rPr>
          <w:rFonts w:ascii="Arial" w:hAnsi="Arial" w:cs="Arial"/>
          <w:color w:val="333333"/>
          <w:sz w:val="18"/>
          <w:szCs w:val="18"/>
          <w:u w:val="single"/>
        </w:rPr>
        <w:t>Brain Organization and Memory– Cells, Systems, and Circuits</w:t>
      </w:r>
    </w:p>
    <w:p w:rsidR="00D84F3E" w:rsidRPr="00D84F3E" w:rsidRDefault="00D84F3E" w:rsidP="00D84F3E">
      <w:pPr>
        <w:rPr>
          <w:u w:val="single"/>
        </w:rPr>
      </w:pPr>
      <w:r w:rsidRPr="00D84F3E">
        <w:rPr>
          <w:rStyle w:val="addmd"/>
          <w:rFonts w:ascii="Arial" w:hAnsi="Arial" w:cs="Arial"/>
          <w:color w:val="333333"/>
          <w:sz w:val="13"/>
          <w:szCs w:val="13"/>
          <w:u w:val="single"/>
          <w:shd w:val="clear" w:color="auto" w:fill="FFFFFF"/>
        </w:rPr>
        <w:t>redagavo James L. McGaugh,Norman M. Weinberger,Gary Lynch</w:t>
      </w:r>
    </w:p>
    <w:p w:rsidR="00D84F3E" w:rsidRDefault="00D84F3E" w:rsidP="003755D2">
      <w:r>
        <w:rPr>
          <w:noProof/>
        </w:rPr>
        <w:drawing>
          <wp:inline distT="0" distB="0" distL="0" distR="0" wp14:anchorId="08536F5A" wp14:editId="0EAEEEBA">
            <wp:extent cx="6300470" cy="2960370"/>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00470" cy="2960370"/>
                    </a:xfrm>
                    <a:prstGeom prst="rect">
                      <a:avLst/>
                    </a:prstGeom>
                  </pic:spPr>
                </pic:pic>
              </a:graphicData>
            </a:graphic>
          </wp:inline>
        </w:drawing>
      </w:r>
    </w:p>
    <w:p w:rsidR="00656414" w:rsidRDefault="00656414" w:rsidP="003755D2"/>
    <w:p w:rsidR="00656414" w:rsidRDefault="00D84F3E" w:rsidP="003755D2">
      <w:r>
        <w:rPr>
          <w:noProof/>
        </w:rPr>
        <w:drawing>
          <wp:inline distT="0" distB="0" distL="0" distR="0" wp14:anchorId="084DD32C" wp14:editId="73DA8C66">
            <wp:extent cx="6300470" cy="5216525"/>
            <wp:effectExtent l="0" t="0" r="508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00470" cy="5216525"/>
                    </a:xfrm>
                    <a:prstGeom prst="rect">
                      <a:avLst/>
                    </a:prstGeom>
                  </pic:spPr>
                </pic:pic>
              </a:graphicData>
            </a:graphic>
          </wp:inline>
        </w:drawing>
      </w:r>
    </w:p>
    <w:p w:rsidR="00D84F3E" w:rsidRDefault="00D84F3E" w:rsidP="003755D2">
      <w:r>
        <w:rPr>
          <w:noProof/>
        </w:rPr>
        <w:drawing>
          <wp:inline distT="0" distB="0" distL="0" distR="0" wp14:anchorId="1B147B4A" wp14:editId="6685EC59">
            <wp:extent cx="6300470" cy="4718685"/>
            <wp:effectExtent l="0" t="0" r="508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00470" cy="4718685"/>
                    </a:xfrm>
                    <a:prstGeom prst="rect">
                      <a:avLst/>
                    </a:prstGeom>
                  </pic:spPr>
                </pic:pic>
              </a:graphicData>
            </a:graphic>
          </wp:inline>
        </w:drawing>
      </w:r>
    </w:p>
    <w:p w:rsidR="00D84F3E" w:rsidRDefault="00D84F3E" w:rsidP="003755D2"/>
    <w:p w:rsidR="00FB3F25" w:rsidRDefault="00FB3F25" w:rsidP="003755D2"/>
    <w:p w:rsidR="00FB3F25" w:rsidRDefault="00755479" w:rsidP="00FB3F25">
      <w:pPr>
        <w:pStyle w:val="Nervous1"/>
      </w:pPr>
      <w:bookmarkStart w:id="14" w:name="_Toc6655878"/>
      <w:r>
        <w:t xml:space="preserve">Role in </w:t>
      </w:r>
      <w:r w:rsidR="00FB3F25">
        <w:t>Cognitive dysfunction in PD</w:t>
      </w:r>
      <w:bookmarkEnd w:id="14"/>
    </w:p>
    <w:p w:rsidR="00FB3F25" w:rsidRPr="007B0D25" w:rsidRDefault="007B0D25" w:rsidP="003755D2">
      <w:pPr>
        <w:rPr>
          <w:szCs w:val="24"/>
        </w:rPr>
      </w:pPr>
      <w:r w:rsidRPr="007B0D25">
        <w:rPr>
          <w:szCs w:val="24"/>
        </w:rPr>
        <w:t>PDD - PD with dementia.</w:t>
      </w:r>
    </w:p>
    <w:p w:rsidR="00FB3F25" w:rsidRDefault="007B0D25" w:rsidP="007B0D25">
      <w:pPr>
        <w:pStyle w:val="ListParagraph"/>
        <w:numPr>
          <w:ilvl w:val="0"/>
          <w:numId w:val="7"/>
        </w:numPr>
        <w:rPr>
          <w:szCs w:val="24"/>
        </w:rPr>
      </w:pPr>
      <w:r w:rsidRPr="007B0D25">
        <w:rPr>
          <w:szCs w:val="24"/>
        </w:rPr>
        <w:t xml:space="preserve">prevalence of PDD </w:t>
      </w:r>
      <w:r w:rsidR="00755479">
        <w:rPr>
          <w:szCs w:val="24"/>
        </w:rPr>
        <w:t>-</w:t>
      </w:r>
      <w:r w:rsidRPr="007B0D25">
        <w:rPr>
          <w:szCs w:val="24"/>
        </w:rPr>
        <w:t xml:space="preserve"> studies indicating a range of </w:t>
      </w:r>
      <w:r w:rsidRPr="007B0D25">
        <w:rPr>
          <w:szCs w:val="24"/>
          <w:highlight w:val="yellow"/>
        </w:rPr>
        <w:t>19%–78%</w:t>
      </w:r>
      <w:r w:rsidRPr="007B0D25">
        <w:rPr>
          <w:szCs w:val="24"/>
        </w:rPr>
        <w:t xml:space="preserve"> (Biggins et al., 1992; de Lau et al., 2005; Hobson and Meara, 2004; Levy et al., 2002).</w:t>
      </w:r>
    </w:p>
    <w:p w:rsidR="007B0D25" w:rsidRPr="007B0D25" w:rsidRDefault="007B0D25" w:rsidP="007B0D25">
      <w:pPr>
        <w:pStyle w:val="ListParagraph"/>
        <w:numPr>
          <w:ilvl w:val="0"/>
          <w:numId w:val="7"/>
        </w:numPr>
        <w:rPr>
          <w:szCs w:val="24"/>
        </w:rPr>
      </w:pPr>
      <w:r w:rsidRPr="007B0D25">
        <w:rPr>
          <w:szCs w:val="24"/>
        </w:rPr>
        <w:t xml:space="preserve">PET study using imaging of cerebral acetyl cholinesterase demonstrated that </w:t>
      </w:r>
      <w:r w:rsidRPr="00755479">
        <w:rPr>
          <w:rStyle w:val="Blue"/>
        </w:rPr>
        <w:t>cholinergic dysfunction occurs even in the early course of PD</w:t>
      </w:r>
      <w:r w:rsidRPr="007B0D25">
        <w:rPr>
          <w:szCs w:val="24"/>
        </w:rPr>
        <w:t xml:space="preserve"> and is more widespread and profound in PDD (Hilker et al., 2005; Shimada et al., 2009).</w:t>
      </w:r>
    </w:p>
    <w:p w:rsidR="00D84F3E" w:rsidRPr="007B0D25" w:rsidRDefault="007B0D25" w:rsidP="007B0D25">
      <w:pPr>
        <w:pStyle w:val="ListParagraph"/>
        <w:numPr>
          <w:ilvl w:val="0"/>
          <w:numId w:val="7"/>
        </w:numPr>
        <w:rPr>
          <w:szCs w:val="24"/>
        </w:rPr>
      </w:pPr>
      <w:r w:rsidRPr="00755479">
        <w:rPr>
          <w:rStyle w:val="Blue"/>
        </w:rPr>
        <w:t>basal forebrain pathology occurs simultaneously with nigral pathology</w:t>
      </w:r>
      <w:r w:rsidRPr="007B0D25">
        <w:rPr>
          <w:szCs w:val="24"/>
        </w:rPr>
        <w:t xml:space="preserve"> </w:t>
      </w:r>
      <w:r>
        <w:rPr>
          <w:szCs w:val="24"/>
        </w:rPr>
        <w:t xml:space="preserve">(Braak et al. </w:t>
      </w:r>
      <w:r w:rsidRPr="007B0D25">
        <w:rPr>
          <w:szCs w:val="24"/>
        </w:rPr>
        <w:t xml:space="preserve">2003, in </w:t>
      </w:r>
      <w:r>
        <w:rPr>
          <w:szCs w:val="24"/>
        </w:rPr>
        <w:t>a staging study of PD pathology)</w:t>
      </w:r>
      <w:r w:rsidRPr="007B0D25">
        <w:rPr>
          <w:szCs w:val="24"/>
        </w:rPr>
        <w:t>.</w:t>
      </w:r>
    </w:p>
    <w:p w:rsidR="007B0D25" w:rsidRDefault="007B0D25" w:rsidP="003755D2"/>
    <w:p w:rsidR="007B0D25" w:rsidRDefault="007B0D25" w:rsidP="003755D2"/>
    <w:p w:rsidR="00755479" w:rsidRDefault="00755479" w:rsidP="00755479">
      <w:pPr>
        <w:pStyle w:val="Nervous6"/>
        <w:ind w:right="8752"/>
      </w:pPr>
      <w:bookmarkStart w:id="15" w:name="_Toc6655879"/>
      <w:r>
        <w:t>Hanyu</w:t>
      </w:r>
      <w:bookmarkEnd w:id="15"/>
    </w:p>
    <w:p w:rsidR="00755479" w:rsidRDefault="00755479" w:rsidP="00755479">
      <w:pPr>
        <w:pStyle w:val="Articlename"/>
      </w:pPr>
      <w:r w:rsidRPr="00DB340F">
        <w:t>Haruo Hanyu, Tetsuichi Asano, Hirofumi Sakurai, Yuriko Tanaka, Masaru Takasaki, and Kimihiko Abe “</w:t>
      </w:r>
      <w:r>
        <w:t xml:space="preserve">MR Analysis of the Substantia Innominata in Normal Aging, Alzheimer Disease, and Other Types of Dementia” </w:t>
      </w:r>
      <w:r w:rsidRPr="00DB340F">
        <w:t>AJNR Am J Neuroradiol 23:27–32, January 2002</w:t>
      </w:r>
    </w:p>
    <w:p w:rsidR="00755479" w:rsidRDefault="00755479" w:rsidP="00755479">
      <w:pPr>
        <w:pStyle w:val="ListParagraph"/>
        <w:numPr>
          <w:ilvl w:val="0"/>
          <w:numId w:val="5"/>
        </w:numPr>
        <w:ind w:left="1080"/>
      </w:pPr>
      <w:r w:rsidRPr="00C815B5">
        <w:rPr>
          <w:highlight w:val="yellow"/>
        </w:rPr>
        <w:t>thickness</w:t>
      </w:r>
      <w:r w:rsidRPr="00DB340F">
        <w:t xml:space="preserve"> of the substantia innominata was measured on the coronal</w:t>
      </w:r>
      <w:r>
        <w:t xml:space="preserve"> </w:t>
      </w:r>
      <w:r w:rsidRPr="00DB340F">
        <w:t xml:space="preserve">T2-weighted image obtained </w:t>
      </w:r>
      <w:r>
        <w:t>through the anterior commissure:</w:t>
      </w:r>
    </w:p>
    <w:p w:rsidR="00755479" w:rsidRDefault="00755479" w:rsidP="00755479">
      <w:pPr>
        <w:pStyle w:val="ListParagraph"/>
        <w:numPr>
          <w:ilvl w:val="0"/>
          <w:numId w:val="4"/>
        </w:numPr>
        <w:ind w:left="1890"/>
      </w:pPr>
      <w:r w:rsidRPr="00DB340F">
        <w:t>39 healthy control subjects</w:t>
      </w:r>
      <w:r>
        <w:t xml:space="preserve"> </w:t>
      </w:r>
      <w:r w:rsidRPr="00DB340F">
        <w:t>(age r</w:t>
      </w:r>
      <w:r>
        <w:t>ange, 25–86 y; mean age, 62 y)</w:t>
      </w:r>
      <w:r w:rsidRPr="00DB340F">
        <w:t xml:space="preserve"> </w:t>
      </w:r>
      <w:r>
        <w:t xml:space="preserve">- </w:t>
      </w:r>
      <w:r w:rsidRPr="00DB340F">
        <w:t>thickness of the substantia innominata significantly</w:t>
      </w:r>
      <w:r>
        <w:t xml:space="preserve"> decreased with age</w:t>
      </w:r>
    </w:p>
    <w:p w:rsidR="00755479" w:rsidRDefault="00755479" w:rsidP="00755479">
      <w:pPr>
        <w:pStyle w:val="ListParagraph"/>
        <w:numPr>
          <w:ilvl w:val="0"/>
          <w:numId w:val="4"/>
        </w:numPr>
        <w:ind w:left="1890"/>
      </w:pPr>
      <w:r>
        <w:t>39 patients with AD</w:t>
      </w:r>
    </w:p>
    <w:p w:rsidR="00755479" w:rsidRPr="00DB340F" w:rsidRDefault="00755479" w:rsidP="00755479">
      <w:pPr>
        <w:pStyle w:val="ListParagraph"/>
        <w:numPr>
          <w:ilvl w:val="0"/>
          <w:numId w:val="4"/>
        </w:numPr>
        <w:ind w:left="1890"/>
      </w:pPr>
      <w:r w:rsidRPr="00DB340F">
        <w:t>36 patients with non-AD</w:t>
      </w:r>
      <w:r>
        <w:t xml:space="preserve"> </w:t>
      </w:r>
      <w:r w:rsidRPr="00DB340F">
        <w:t>dementia, including vascular dementia, frontotemporal dementia, and Parkinson disease with</w:t>
      </w:r>
      <w:r>
        <w:t xml:space="preserve"> </w:t>
      </w:r>
      <w:r w:rsidRPr="00DB340F">
        <w:t>dementia.</w:t>
      </w:r>
    </w:p>
    <w:p w:rsidR="00755479" w:rsidRDefault="00755479" w:rsidP="00755479">
      <w:pPr>
        <w:pStyle w:val="ListParagraph"/>
        <w:numPr>
          <w:ilvl w:val="0"/>
          <w:numId w:val="5"/>
        </w:numPr>
        <w:ind w:left="1080"/>
      </w:pPr>
      <w:r>
        <w:t>c</w:t>
      </w:r>
      <w:r w:rsidRPr="00DB340F">
        <w:t xml:space="preserve">ompared with age-matched control subjects, </w:t>
      </w:r>
      <w:r w:rsidRPr="006C18BB">
        <w:rPr>
          <w:shd w:val="clear" w:color="auto" w:fill="E5B8B7" w:themeFill="accent2" w:themeFillTint="66"/>
        </w:rPr>
        <w:t>both patients with AD and patients with non-AD dementia had significant atrophy of the substantia innominata</w:t>
      </w:r>
      <w:r>
        <w:t>:</w:t>
      </w:r>
    </w:p>
    <w:p w:rsidR="00755479" w:rsidRDefault="00755479" w:rsidP="00755479">
      <w:pPr>
        <w:pStyle w:val="ListParagraph"/>
        <w:ind w:left="1080"/>
      </w:pPr>
      <w:r>
        <w:rPr>
          <w:noProof/>
        </w:rPr>
        <w:drawing>
          <wp:inline distT="0" distB="0" distL="0" distR="0" wp14:anchorId="78459E32" wp14:editId="21D2D9BB">
            <wp:extent cx="5495925" cy="29527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95925" cy="2952750"/>
                    </a:xfrm>
                    <a:prstGeom prst="rect">
                      <a:avLst/>
                    </a:prstGeom>
                  </pic:spPr>
                </pic:pic>
              </a:graphicData>
            </a:graphic>
          </wp:inline>
        </w:drawing>
      </w:r>
    </w:p>
    <w:p w:rsidR="00755479" w:rsidRDefault="00755479" w:rsidP="00755479">
      <w:pPr>
        <w:pStyle w:val="ListParagraph"/>
        <w:ind w:left="1080"/>
      </w:pPr>
      <w:r>
        <w:t>Probably “cm” (not “mm”) but still – rostrocaudal thickness is about 2 cm</w:t>
      </w:r>
    </w:p>
    <w:p w:rsidR="00755479" w:rsidRPr="00DB340F" w:rsidRDefault="00755479" w:rsidP="00755479">
      <w:pPr>
        <w:pStyle w:val="ListParagraph"/>
        <w:ind w:left="1080"/>
      </w:pPr>
    </w:p>
    <w:p w:rsidR="00755479" w:rsidRDefault="00755479" w:rsidP="00755479">
      <w:pPr>
        <w:pStyle w:val="ListParagraph"/>
        <w:numPr>
          <w:ilvl w:val="0"/>
          <w:numId w:val="5"/>
        </w:numPr>
        <w:ind w:left="1080"/>
      </w:pPr>
      <w:r w:rsidRPr="006C18BB">
        <w:rPr>
          <w:shd w:val="clear" w:color="auto" w:fill="E5B8B7" w:themeFill="accent2" w:themeFillTint="66"/>
        </w:rPr>
        <w:t>thickness of the substantia innominata significantly correlated with scores from the Mini-Mental State Examination in patients with AD but not in patients with non-AD dementia</w:t>
      </w:r>
      <w:r>
        <w:t>:</w:t>
      </w:r>
    </w:p>
    <w:p w:rsidR="00755479" w:rsidRDefault="00755479" w:rsidP="00755479"/>
    <w:p w:rsidR="00755479" w:rsidRDefault="00755479" w:rsidP="00755479">
      <w:r>
        <w:rPr>
          <w:noProof/>
        </w:rPr>
        <w:drawing>
          <wp:inline distT="0" distB="0" distL="0" distR="0" wp14:anchorId="30F78E43" wp14:editId="24196414">
            <wp:extent cx="6300470" cy="390525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00470" cy="3905250"/>
                    </a:xfrm>
                    <a:prstGeom prst="rect">
                      <a:avLst/>
                    </a:prstGeom>
                  </pic:spPr>
                </pic:pic>
              </a:graphicData>
            </a:graphic>
          </wp:inline>
        </w:drawing>
      </w:r>
    </w:p>
    <w:p w:rsidR="00755479" w:rsidRPr="00DB340F" w:rsidRDefault="00755479" w:rsidP="00755479"/>
    <w:p w:rsidR="00755479" w:rsidRDefault="00755479" w:rsidP="00755479">
      <w:pPr>
        <w:pStyle w:val="ListParagraph"/>
        <w:numPr>
          <w:ilvl w:val="0"/>
          <w:numId w:val="5"/>
        </w:numPr>
        <w:ind w:left="1080"/>
      </w:pPr>
      <w:r w:rsidRPr="00DB340F">
        <w:t>MR</w:t>
      </w:r>
      <w:r>
        <w:t xml:space="preserve"> </w:t>
      </w:r>
      <w:r w:rsidRPr="00DB340F">
        <w:t>imaging features in this structure may not be specific to AD.</w:t>
      </w:r>
    </w:p>
    <w:p w:rsidR="00755479" w:rsidRDefault="00755479" w:rsidP="00755479">
      <w:pPr>
        <w:pStyle w:val="ListParagraph"/>
        <w:numPr>
          <w:ilvl w:val="0"/>
          <w:numId w:val="5"/>
        </w:numPr>
        <w:ind w:left="1080"/>
      </w:pPr>
      <w:r>
        <w:t>n</w:t>
      </w:r>
      <w:r w:rsidRPr="00DA34FA">
        <w:t>o statistical differences were found between the</w:t>
      </w:r>
      <w:r>
        <w:t xml:space="preserve"> </w:t>
      </w:r>
      <w:r w:rsidRPr="00DA34FA">
        <w:t>thickness of the substantia innominata on the right</w:t>
      </w:r>
      <w:r>
        <w:t xml:space="preserve"> </w:t>
      </w:r>
      <w:r w:rsidRPr="00DA34FA">
        <w:t>and left sides in any subject</w:t>
      </w:r>
      <w:r>
        <w:t>.</w:t>
      </w:r>
    </w:p>
    <w:p w:rsidR="00755479" w:rsidRPr="00DB340F" w:rsidRDefault="00755479" w:rsidP="00755479">
      <w:pPr>
        <w:pStyle w:val="ListParagraph"/>
        <w:numPr>
          <w:ilvl w:val="0"/>
          <w:numId w:val="5"/>
        </w:numPr>
        <w:ind w:left="1080"/>
      </w:pPr>
      <w:r w:rsidRPr="006C18BB">
        <w:rPr>
          <w:shd w:val="clear" w:color="auto" w:fill="E5B8B7" w:themeFill="accent2" w:themeFillTint="66"/>
        </w:rPr>
        <w:t>in control subjects, the thickness of the substantia innominata significantly decreased with age</w:t>
      </w:r>
      <w:r w:rsidRPr="00D00425">
        <w:t xml:space="preserve"> (r</w:t>
      </w:r>
      <w:r>
        <w:t xml:space="preserve"> = 0</w:t>
      </w:r>
      <w:r w:rsidRPr="00D00425">
        <w:t xml:space="preserve">.86, P </w:t>
      </w:r>
      <w:r>
        <w:t>&lt; 0.0001):</w:t>
      </w:r>
    </w:p>
    <w:p w:rsidR="00755479" w:rsidRDefault="00755479" w:rsidP="00755479">
      <w:r>
        <w:rPr>
          <w:noProof/>
        </w:rPr>
        <w:drawing>
          <wp:inline distT="0" distB="0" distL="0" distR="0" wp14:anchorId="7D210E88" wp14:editId="78376B3E">
            <wp:extent cx="5619750" cy="49434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19750" cy="4943475"/>
                    </a:xfrm>
                    <a:prstGeom prst="rect">
                      <a:avLst/>
                    </a:prstGeom>
                  </pic:spPr>
                </pic:pic>
              </a:graphicData>
            </a:graphic>
          </wp:inline>
        </w:drawing>
      </w:r>
    </w:p>
    <w:p w:rsidR="00755479" w:rsidRDefault="00755479" w:rsidP="00755479"/>
    <w:p w:rsidR="00755479" w:rsidRDefault="00755479" w:rsidP="006C18BB">
      <w:pPr>
        <w:pStyle w:val="Nervous6"/>
        <w:ind w:right="9102"/>
      </w:pPr>
      <w:bookmarkStart w:id="16" w:name="_Toc6655880"/>
      <w:r>
        <w:t>Choi</w:t>
      </w:r>
      <w:bookmarkEnd w:id="16"/>
    </w:p>
    <w:p w:rsidR="00755479" w:rsidRDefault="00755479" w:rsidP="00755479">
      <w:pPr>
        <w:pStyle w:val="Articlename"/>
      </w:pPr>
      <w:r>
        <w:t xml:space="preserve">Choi “Volumetric analysis of the substantia innominata in patients with Parkinson’s disease according to cognitive status” </w:t>
      </w:r>
      <w:r w:rsidRPr="00C815B5">
        <w:t>Neurobiology of Aging 33 (2012) 1265–1272</w:t>
      </w:r>
    </w:p>
    <w:p w:rsidR="00755479" w:rsidRDefault="00755479" w:rsidP="00755479">
      <w:pPr>
        <w:pStyle w:val="ListParagraph"/>
        <w:ind w:left="1440"/>
      </w:pPr>
      <w:r w:rsidRPr="00C815B5">
        <w:t>SI volume in PD differs depending on cognitive status and is significantly correlated with cognitive performance</w:t>
      </w:r>
    </w:p>
    <w:p w:rsidR="00755479" w:rsidRDefault="00755479" w:rsidP="00755479">
      <w:pPr>
        <w:pStyle w:val="ListParagraph"/>
        <w:numPr>
          <w:ilvl w:val="0"/>
          <w:numId w:val="6"/>
        </w:numPr>
      </w:pPr>
      <w:r>
        <w:t>MR-</w:t>
      </w:r>
      <w:r w:rsidRPr="00C815B5">
        <w:t>based volumetric analysis to evaluate the SI volume in PD-intact cognition (PD-IC</w:t>
      </w:r>
      <w:r w:rsidR="00CE4DD3">
        <w:t>, n = 24</w:t>
      </w:r>
      <w:r w:rsidRPr="00C815B5">
        <w:t>), PD-mild cognitive impairment (PD-MCI</w:t>
      </w:r>
      <w:r w:rsidR="00CE4DD3">
        <w:t>, n = 35</w:t>
      </w:r>
      <w:r w:rsidRPr="00C815B5">
        <w:t xml:space="preserve">), and PD dementia </w:t>
      </w:r>
      <w:r>
        <w:t>(PDD</w:t>
      </w:r>
      <w:r w:rsidR="00CE4DD3">
        <w:t>, n = 29</w:t>
      </w:r>
      <w:r>
        <w:t>).</w:t>
      </w:r>
    </w:p>
    <w:p w:rsidR="00755479" w:rsidRDefault="00755479" w:rsidP="00755479">
      <w:pPr>
        <w:pStyle w:val="ListParagraph"/>
        <w:numPr>
          <w:ilvl w:val="0"/>
          <w:numId w:val="6"/>
        </w:numPr>
      </w:pPr>
      <w:r w:rsidRPr="00C815B5">
        <w:t>mean normalized SI volume was significantly decrease</w:t>
      </w:r>
      <w:r>
        <w:t>d in patients with PD-IC (1.54 ± 0.12, p &lt; 0.001), PD-MCI (1.49 ± 0.12, p &lt;</w:t>
      </w:r>
      <w:r w:rsidRPr="00C815B5">
        <w:t xml:space="preserve"> 0.001), and PDD (1.39 </w:t>
      </w:r>
      <w:r>
        <w:t>± 0.12, p &lt;</w:t>
      </w:r>
      <w:r w:rsidRPr="00C815B5">
        <w:t xml:space="preserve"> 0.001) compared with that of control subjects (1.68 </w:t>
      </w:r>
      <w:r>
        <w:t>± 0.11).</w:t>
      </w:r>
    </w:p>
    <w:p w:rsidR="00755479" w:rsidRDefault="00755479" w:rsidP="00755479">
      <w:pPr>
        <w:pStyle w:val="ListParagraph"/>
        <w:numPr>
          <w:ilvl w:val="0"/>
          <w:numId w:val="6"/>
        </w:numPr>
      </w:pPr>
      <w:r w:rsidRPr="00C815B5">
        <w:t>normalized SI volume did not differ between patients with PD-IC and PD-MCI; however, the normalized SI volume was significantly decreased in patients with PDD compared wi</w:t>
      </w:r>
      <w:r>
        <w:t>th that in those with PD-IC (p &lt;</w:t>
      </w:r>
      <w:r w:rsidRPr="00C815B5">
        <w:t xml:space="preserve"> 0.001) or PD-MCI (p </w:t>
      </w:r>
      <w:r>
        <w:t>= 0.016).</w:t>
      </w:r>
    </w:p>
    <w:p w:rsidR="00755479" w:rsidRDefault="00755479" w:rsidP="00755479">
      <w:pPr>
        <w:pStyle w:val="ListParagraph"/>
        <w:numPr>
          <w:ilvl w:val="0"/>
          <w:numId w:val="6"/>
        </w:numPr>
      </w:pPr>
      <w:r w:rsidRPr="00C815B5">
        <w:t xml:space="preserve">normalized SI volume was significantly correlated with general cognitive status (r </w:t>
      </w:r>
      <w:r>
        <w:t>=</w:t>
      </w:r>
      <w:r w:rsidRPr="00C815B5">
        <w:t xml:space="preserve"> 0.51, p </w:t>
      </w:r>
      <w:r>
        <w:t>&lt;</w:t>
      </w:r>
      <w:r w:rsidRPr="00C815B5">
        <w:t xml:space="preserve"> 0.001) as well as with performance in each cognitive subdomain, with a particularly significant independent</w:t>
      </w:r>
      <w:r>
        <w:t xml:space="preserve"> association with attention (β = 0.33, p = 0.003) and object naming (β = 0.26, p =</w:t>
      </w:r>
      <w:r w:rsidRPr="00C815B5">
        <w:t xml:space="preserve"> 0.017). </w:t>
      </w:r>
    </w:p>
    <w:p w:rsidR="00755479" w:rsidRDefault="00755479" w:rsidP="00755479"/>
    <w:p w:rsidR="00755479" w:rsidRDefault="00755479" w:rsidP="003755D2"/>
    <w:p w:rsidR="00755479" w:rsidRDefault="006C18BB" w:rsidP="006C18BB">
      <w:pPr>
        <w:pStyle w:val="Nervous6"/>
        <w:ind w:right="9022"/>
      </w:pPr>
      <w:bookmarkStart w:id="17" w:name="_Toc6655881"/>
      <w:r>
        <w:t>Teipel</w:t>
      </w:r>
      <w:bookmarkEnd w:id="17"/>
    </w:p>
    <w:p w:rsidR="00CE2057" w:rsidRPr="00CE2057" w:rsidRDefault="00CE2057" w:rsidP="00CE2057">
      <w:pPr>
        <w:pStyle w:val="Articlename"/>
      </w:pPr>
      <w:r w:rsidRPr="00CE2057">
        <w:t>Teipel</w:t>
      </w:r>
      <w:r>
        <w:t xml:space="preserve"> “</w:t>
      </w:r>
      <w:r w:rsidRPr="00CE2057">
        <w:t>The Cholinergic System in Mild Cognitive</w:t>
      </w:r>
      <w:r>
        <w:t xml:space="preserve"> </w:t>
      </w:r>
      <w:r w:rsidRPr="00CE2057">
        <w:t>Impairment and Alzheimer’s Disease: An In Vivo</w:t>
      </w:r>
      <w:r>
        <w:t xml:space="preserve"> </w:t>
      </w:r>
      <w:r w:rsidRPr="00CE2057">
        <w:t>MRI and DTI study</w:t>
      </w:r>
      <w:r>
        <w:t xml:space="preserve">” </w:t>
      </w:r>
      <w:r w:rsidRPr="00CE2057">
        <w:t>Human Brain Mapping 32:1349–</w:t>
      </w:r>
      <w:r>
        <w:t>1362 (2011)</w:t>
      </w:r>
    </w:p>
    <w:p w:rsidR="00CE2057" w:rsidRDefault="00CE2057" w:rsidP="00CE2057">
      <w:pPr>
        <w:autoSpaceDE w:val="0"/>
        <w:autoSpaceDN w:val="0"/>
        <w:adjustRightInd w:val="0"/>
        <w:rPr>
          <w:rFonts w:ascii="AdvP7C2E" w:hAnsi="AdvP7C2E" w:cs="AdvP7C2E"/>
          <w:color w:val="241F20"/>
          <w:sz w:val="15"/>
          <w:szCs w:val="15"/>
        </w:rPr>
      </w:pPr>
      <w:r>
        <w:rPr>
          <w:rFonts w:ascii="AdvP7C2E" w:hAnsi="AdvP7C2E" w:cs="AdvP7C2E"/>
          <w:color w:val="241F20"/>
          <w:sz w:val="15"/>
          <w:szCs w:val="15"/>
        </w:rPr>
        <w:t>Correspondence to: Stefan J. Teipel, Department of Psychiatry and Psychotherapy, University Rostock, Gehlsheimer Str. 20,</w:t>
      </w:r>
    </w:p>
    <w:p w:rsidR="00CE2057" w:rsidRDefault="00CE2057" w:rsidP="00CE2057">
      <w:pPr>
        <w:autoSpaceDE w:val="0"/>
        <w:autoSpaceDN w:val="0"/>
        <w:adjustRightInd w:val="0"/>
        <w:rPr>
          <w:rFonts w:ascii="AdvP7C2E" w:hAnsi="AdvP7C2E" w:cs="AdvP7C2E"/>
          <w:color w:val="241F20"/>
          <w:sz w:val="15"/>
          <w:szCs w:val="15"/>
        </w:rPr>
      </w:pPr>
      <w:r>
        <w:rPr>
          <w:rFonts w:ascii="AdvP7C2E" w:hAnsi="AdvP7C2E" w:cs="AdvP7C2E"/>
          <w:color w:val="241F20"/>
          <w:sz w:val="15"/>
          <w:szCs w:val="15"/>
        </w:rPr>
        <w:t>Rostock 18147, Germany.</w:t>
      </w:r>
    </w:p>
    <w:p w:rsidR="00CE2057" w:rsidRPr="00CE2057" w:rsidRDefault="00CE2057" w:rsidP="00CE2057">
      <w:pPr>
        <w:rPr>
          <w:szCs w:val="24"/>
        </w:rPr>
      </w:pPr>
      <w:r>
        <w:rPr>
          <w:rFonts w:ascii="AdvP7C2E" w:hAnsi="AdvP7C2E" w:cs="AdvP7C2E"/>
          <w:color w:val="241F20"/>
          <w:sz w:val="15"/>
          <w:szCs w:val="15"/>
        </w:rPr>
        <w:t>E-mail: stefan.teipel@med.uni-rostock.de</w:t>
      </w:r>
    </w:p>
    <w:p w:rsidR="00CE2057" w:rsidRPr="00CE2057" w:rsidRDefault="00CE2057" w:rsidP="00CE2057">
      <w:pPr>
        <w:rPr>
          <w:szCs w:val="24"/>
        </w:rPr>
      </w:pPr>
    </w:p>
    <w:p w:rsidR="00CE2057" w:rsidRPr="00CE2057" w:rsidRDefault="00CE2057" w:rsidP="00CE2057">
      <w:pPr>
        <w:rPr>
          <w:szCs w:val="24"/>
        </w:rPr>
      </w:pPr>
      <w:r w:rsidRPr="00CE2057">
        <w:rPr>
          <w:szCs w:val="24"/>
        </w:rPr>
        <w:t>AD Alzheimer’s disease</w:t>
      </w:r>
    </w:p>
    <w:p w:rsidR="00CE2057" w:rsidRPr="00CE2057" w:rsidRDefault="00CE2057" w:rsidP="00CE2057">
      <w:pPr>
        <w:rPr>
          <w:szCs w:val="24"/>
        </w:rPr>
      </w:pPr>
      <w:r w:rsidRPr="00CE2057">
        <w:rPr>
          <w:szCs w:val="24"/>
        </w:rPr>
        <w:t>MCI - amnestic mild cognitive impairment, an at risk stage of AD.</w:t>
      </w:r>
    </w:p>
    <w:p w:rsidR="006C18BB" w:rsidRDefault="006C18BB" w:rsidP="00CE2057">
      <w:pPr>
        <w:rPr>
          <w:szCs w:val="24"/>
        </w:rPr>
      </w:pPr>
    </w:p>
    <w:p w:rsidR="002A536A" w:rsidRPr="002A536A" w:rsidRDefault="00CE2057" w:rsidP="002A536A">
      <w:pPr>
        <w:pStyle w:val="ListParagraph"/>
        <w:numPr>
          <w:ilvl w:val="0"/>
          <w:numId w:val="6"/>
        </w:numPr>
      </w:pPr>
      <w:r w:rsidRPr="002A536A">
        <w:t xml:space="preserve">21 patients with AD </w:t>
      </w:r>
      <w:r w:rsidR="002A536A" w:rsidRPr="002A536A">
        <w:t>+</w:t>
      </w:r>
      <w:r w:rsidRPr="002A536A">
        <w:t xml:space="preserve"> 16 subjects with MCI </w:t>
      </w:r>
      <w:r w:rsidR="002A536A" w:rsidRPr="002A536A">
        <w:t>+ 20 healthy elderly subjects</w:t>
      </w:r>
    </w:p>
    <w:p w:rsidR="002A536A" w:rsidRDefault="00CE2057" w:rsidP="002A536A">
      <w:pPr>
        <w:pStyle w:val="ListParagraph"/>
        <w:numPr>
          <w:ilvl w:val="0"/>
          <w:numId w:val="6"/>
        </w:numPr>
      </w:pPr>
      <w:r w:rsidRPr="002A536A">
        <w:t>deformation-</w:t>
      </w:r>
      <w:r w:rsidR="002A536A" w:rsidRPr="002A536A">
        <w:t>based morphometry of MRI scans.</w:t>
      </w:r>
    </w:p>
    <w:p w:rsidR="00AA07F4" w:rsidRDefault="006B6184" w:rsidP="006B6184">
      <w:pPr>
        <w:pStyle w:val="ListParagraph"/>
        <w:numPr>
          <w:ilvl w:val="0"/>
          <w:numId w:val="6"/>
        </w:numPr>
      </w:pPr>
      <w:r w:rsidRPr="006B6184">
        <w:t>3.0-Tesla Siemens scanner</w:t>
      </w:r>
      <w:r w:rsidR="00AA07F4">
        <w:t>.</w:t>
      </w:r>
    </w:p>
    <w:p w:rsidR="00AA07F4" w:rsidRDefault="00AA07F4" w:rsidP="00AA07F4">
      <w:pPr>
        <w:pStyle w:val="ListParagraph"/>
        <w:numPr>
          <w:ilvl w:val="0"/>
          <w:numId w:val="6"/>
        </w:numPr>
      </w:pPr>
      <w:r>
        <w:t>DTI</w:t>
      </w:r>
      <w:r w:rsidRPr="00AA07F4">
        <w:t xml:space="preserve"> imaging was performed with an echo-planar-imaging sequence (field-of-view: 256 mm; repetition time: 9,300 ms; ech</w:t>
      </w:r>
      <w:r>
        <w:t xml:space="preserve">o time: 102 ms; voxel size: 2 x 2 x </w:t>
      </w:r>
      <w:r w:rsidRPr="00AA07F4">
        <w:t xml:space="preserve">2 mm3; four </w:t>
      </w:r>
      <w:r>
        <w:t>repeated acquisitions, b-value =</w:t>
      </w:r>
      <w:r w:rsidRPr="00AA07F4">
        <w:t xml:space="preserve"> 1,000, 12 directions, 64 slices, no overlap).</w:t>
      </w:r>
    </w:p>
    <w:p w:rsidR="006C704D" w:rsidRDefault="006C704D" w:rsidP="004C375C">
      <w:pPr>
        <w:pStyle w:val="ListParagraph"/>
        <w:numPr>
          <w:ilvl w:val="0"/>
          <w:numId w:val="6"/>
        </w:numPr>
      </w:pPr>
      <w:r>
        <w:t xml:space="preserve">ROI - </w:t>
      </w:r>
      <w:r w:rsidRPr="004C375C">
        <w:t>square</w:t>
      </w:r>
      <w:r w:rsidR="004C375C" w:rsidRPr="004C375C">
        <w:t xml:space="preserve"> aligned relative to the anterior commissure</w:t>
      </w:r>
      <w:r w:rsidR="0057767C">
        <w:t>.</w:t>
      </w:r>
    </w:p>
    <w:p w:rsidR="0057767C" w:rsidRPr="004C375C" w:rsidRDefault="0057767C" w:rsidP="004C375C">
      <w:pPr>
        <w:pStyle w:val="ListParagraph"/>
        <w:numPr>
          <w:ilvl w:val="0"/>
          <w:numId w:val="6"/>
        </w:numPr>
      </w:pPr>
      <w:r>
        <w:t>analysis – FSL.</w:t>
      </w:r>
    </w:p>
    <w:p w:rsidR="00055C60" w:rsidRDefault="00CE2057" w:rsidP="003261C0">
      <w:pPr>
        <w:pStyle w:val="ListParagraph"/>
        <w:numPr>
          <w:ilvl w:val="0"/>
          <w:numId w:val="6"/>
        </w:numPr>
        <w:rPr>
          <w:szCs w:val="24"/>
        </w:rPr>
      </w:pPr>
      <w:r w:rsidRPr="002A536A">
        <w:t xml:space="preserve">assessed effects of basal forebrain atrophy on fiber tracts derived from high-resolution </w:t>
      </w:r>
      <w:r w:rsidR="002A536A">
        <w:t>DTI</w:t>
      </w:r>
      <w:r w:rsidRPr="00055C60">
        <w:rPr>
          <w:szCs w:val="24"/>
        </w:rPr>
        <w:t xml:space="preserve"> using tract-based spatial statistics.</w:t>
      </w:r>
    </w:p>
    <w:p w:rsidR="00AF2835" w:rsidRDefault="00055C60" w:rsidP="003261C0">
      <w:pPr>
        <w:pStyle w:val="ListParagraph"/>
        <w:numPr>
          <w:ilvl w:val="0"/>
          <w:numId w:val="6"/>
        </w:numPr>
        <w:rPr>
          <w:szCs w:val="24"/>
        </w:rPr>
      </w:pPr>
      <w:r w:rsidRPr="00055C60">
        <w:rPr>
          <w:szCs w:val="24"/>
          <w:shd w:val="clear" w:color="auto" w:fill="E5B8B7" w:themeFill="accent2" w:themeFillTint="66"/>
        </w:rPr>
        <w:t>patients with AD and MCI subjects showed reduced volumes in basal forebrain areas corresponding to anterior medial and lateral, intermediate and posterior nuclei of the Nucleus basalis of Meynert (NbM) as well as in the diagonal band of Broca nuclei</w:t>
      </w:r>
      <w:r w:rsidR="00AF2835">
        <w:rPr>
          <w:szCs w:val="24"/>
        </w:rPr>
        <w:t xml:space="preserve"> (P &lt; 0.01).</w:t>
      </w:r>
    </w:p>
    <w:p w:rsidR="0091078C" w:rsidRPr="0091078C" w:rsidRDefault="0091078C" w:rsidP="0091078C">
      <w:pPr>
        <w:pStyle w:val="ListParagraph"/>
        <w:numPr>
          <w:ilvl w:val="0"/>
          <w:numId w:val="6"/>
        </w:numPr>
      </w:pPr>
      <w:r w:rsidRPr="0091078C">
        <w:t>study suggests a sequence of atroph</w:t>
      </w:r>
      <w:r w:rsidR="00C14326">
        <w:t xml:space="preserve">y from Ch4al to Ch4am and Ch2/3; </w:t>
      </w:r>
      <w:r w:rsidR="0083563B">
        <w:t xml:space="preserve">therefore, DTI </w:t>
      </w:r>
      <w:r w:rsidR="00C14326">
        <w:t xml:space="preserve">study focused on tracts originating from </w:t>
      </w:r>
      <w:r w:rsidR="00C14326" w:rsidRPr="00C14326">
        <w:t>Ch4al region</w:t>
      </w:r>
    </w:p>
    <w:p w:rsidR="00055C60" w:rsidRDefault="00055C60" w:rsidP="003261C0">
      <w:pPr>
        <w:pStyle w:val="ListParagraph"/>
        <w:numPr>
          <w:ilvl w:val="0"/>
          <w:numId w:val="6"/>
        </w:numPr>
        <w:rPr>
          <w:szCs w:val="24"/>
        </w:rPr>
      </w:pPr>
      <w:r w:rsidRPr="00055C60">
        <w:rPr>
          <w:szCs w:val="24"/>
        </w:rPr>
        <w:t>Effects in MCI subjects were spatially more restricted than in AD, but</w:t>
      </w:r>
      <w:r>
        <w:rPr>
          <w:szCs w:val="24"/>
        </w:rPr>
        <w:t xml:space="preserve"> occurred at similar locations.</w:t>
      </w:r>
    </w:p>
    <w:p w:rsidR="00AF2835" w:rsidRDefault="00AF2835" w:rsidP="00AF2835">
      <w:pPr>
        <w:pStyle w:val="ListParagraph"/>
        <w:numPr>
          <w:ilvl w:val="0"/>
          <w:numId w:val="6"/>
        </w:numPr>
        <w:rPr>
          <w:szCs w:val="24"/>
        </w:rPr>
      </w:pPr>
      <w:r w:rsidRPr="00AF2835">
        <w:rPr>
          <w:szCs w:val="24"/>
        </w:rPr>
        <w:t>Effects were more pronounced in the right than the left hemisphere</w:t>
      </w:r>
      <w:r>
        <w:rPr>
          <w:szCs w:val="24"/>
        </w:rPr>
        <w:t>.</w:t>
      </w:r>
    </w:p>
    <w:p w:rsidR="00245764" w:rsidRDefault="00055C60" w:rsidP="003261C0">
      <w:pPr>
        <w:pStyle w:val="ListParagraph"/>
        <w:numPr>
          <w:ilvl w:val="0"/>
          <w:numId w:val="6"/>
        </w:numPr>
        <w:rPr>
          <w:szCs w:val="24"/>
        </w:rPr>
      </w:pPr>
      <w:r w:rsidRPr="00055C60">
        <w:rPr>
          <w:szCs w:val="24"/>
        </w:rPr>
        <w:t xml:space="preserve">The </w:t>
      </w:r>
      <w:r w:rsidRPr="00245764">
        <w:rPr>
          <w:b/>
          <w:szCs w:val="24"/>
        </w:rPr>
        <w:t>volume of the right antero-lateral NbM nucleus</w:t>
      </w:r>
      <w:r w:rsidRPr="00055C60">
        <w:rPr>
          <w:szCs w:val="24"/>
        </w:rPr>
        <w:t xml:space="preserve"> was </w:t>
      </w:r>
      <w:r w:rsidRPr="00245764">
        <w:rPr>
          <w:rStyle w:val="Blue"/>
        </w:rPr>
        <w:t>correlated</w:t>
      </w:r>
      <w:r w:rsidRPr="00055C60">
        <w:rPr>
          <w:szCs w:val="24"/>
        </w:rPr>
        <w:t xml:space="preserve"> with </w:t>
      </w:r>
      <w:r w:rsidRPr="00245764">
        <w:rPr>
          <w:b/>
          <w:szCs w:val="24"/>
        </w:rPr>
        <w:t xml:space="preserve">intracortical projecting fiber </w:t>
      </w:r>
      <w:r w:rsidRPr="00055C60">
        <w:rPr>
          <w:szCs w:val="24"/>
        </w:rPr>
        <w:t>tract</w:t>
      </w:r>
      <w:r w:rsidR="00245764">
        <w:rPr>
          <w:szCs w:val="24"/>
        </w:rPr>
        <w:t>* integrity.</w:t>
      </w:r>
    </w:p>
    <w:p w:rsidR="00055C60" w:rsidRDefault="00245764" w:rsidP="00245764">
      <w:pPr>
        <w:pStyle w:val="ListParagraph"/>
        <w:ind w:left="2160"/>
        <w:rPr>
          <w:szCs w:val="24"/>
        </w:rPr>
      </w:pPr>
      <w:r>
        <w:rPr>
          <w:szCs w:val="24"/>
        </w:rPr>
        <w:t>*s</w:t>
      </w:r>
      <w:r w:rsidR="00055C60" w:rsidRPr="00055C60">
        <w:rPr>
          <w:szCs w:val="24"/>
        </w:rPr>
        <w:t>uch as the corpus callosum, cingulate, and the superior longitudinal, inferior longitudinal, inferior fronto-occipital, and uncinate fasciculus (P &lt; 0.05, corrected for multiple co</w:t>
      </w:r>
      <w:r w:rsidR="00055C60">
        <w:rPr>
          <w:szCs w:val="24"/>
        </w:rPr>
        <w:t>mparisons).</w:t>
      </w:r>
    </w:p>
    <w:p w:rsidR="0083563B" w:rsidRPr="0083563B" w:rsidRDefault="0083563B" w:rsidP="003261C0">
      <w:pPr>
        <w:pStyle w:val="ListParagraph"/>
        <w:numPr>
          <w:ilvl w:val="0"/>
          <w:numId w:val="9"/>
        </w:numPr>
        <w:rPr>
          <w:szCs w:val="24"/>
        </w:rPr>
      </w:pPr>
      <w:r w:rsidRPr="0083563B">
        <w:rPr>
          <w:szCs w:val="24"/>
        </w:rPr>
        <w:t xml:space="preserve">Corticofugal fiber systems </w:t>
      </w:r>
      <w:r>
        <w:rPr>
          <w:szCs w:val="24"/>
        </w:rPr>
        <w:t>were spared (from atrophy).</w:t>
      </w:r>
    </w:p>
    <w:p w:rsidR="00245764" w:rsidRPr="00245764" w:rsidRDefault="00245764" w:rsidP="00245764">
      <w:pPr>
        <w:pStyle w:val="ListParagraph"/>
        <w:numPr>
          <w:ilvl w:val="0"/>
          <w:numId w:val="9"/>
        </w:numPr>
        <w:rPr>
          <w:szCs w:val="24"/>
        </w:rPr>
      </w:pPr>
      <w:r w:rsidRPr="00245764">
        <w:rPr>
          <w:szCs w:val="24"/>
        </w:rPr>
        <w:t xml:space="preserve">correlation between atrophy and fiber tract changes was </w:t>
      </w:r>
      <w:r w:rsidRPr="00245764">
        <w:rPr>
          <w:szCs w:val="24"/>
          <w:u w:val="single"/>
        </w:rPr>
        <w:t>independent from cofactors such as age and MMSE score</w:t>
      </w:r>
      <w:r w:rsidRPr="00245764">
        <w:rPr>
          <w:szCs w:val="24"/>
        </w:rPr>
        <w:t>, as measure of disease severity.</w:t>
      </w:r>
    </w:p>
    <w:p w:rsidR="00245764" w:rsidRPr="00245764" w:rsidRDefault="00245764" w:rsidP="00245764">
      <w:pPr>
        <w:pStyle w:val="ListParagraph"/>
        <w:numPr>
          <w:ilvl w:val="0"/>
          <w:numId w:val="9"/>
        </w:numPr>
        <w:rPr>
          <w:szCs w:val="24"/>
        </w:rPr>
      </w:pPr>
      <w:r w:rsidRPr="00245764">
        <w:rPr>
          <w:szCs w:val="24"/>
        </w:rPr>
        <w:t>there was no significant correlation between hippocampus atrophy and fiber tract integrity, underscoring the specificity of the findings for the BF</w:t>
      </w:r>
    </w:p>
    <w:p w:rsidR="00755479" w:rsidRDefault="00055C60" w:rsidP="003261C0">
      <w:pPr>
        <w:pStyle w:val="ListParagraph"/>
        <w:numPr>
          <w:ilvl w:val="0"/>
          <w:numId w:val="6"/>
        </w:numPr>
        <w:rPr>
          <w:szCs w:val="24"/>
        </w:rPr>
      </w:pPr>
      <w:r w:rsidRPr="00055C60">
        <w:rPr>
          <w:szCs w:val="24"/>
        </w:rPr>
        <w:t>findings suggest that a multimodal MRI</w:t>
      </w:r>
      <w:r>
        <w:rPr>
          <w:szCs w:val="24"/>
        </w:rPr>
        <w:t>-</w:t>
      </w:r>
      <w:r w:rsidRPr="00055C60">
        <w:rPr>
          <w:szCs w:val="24"/>
        </w:rPr>
        <w:t>DTI approach is supportive to determine atrophy of cholinergic nuclei and its effect on intracortical projecting fiber tracts in AD</w:t>
      </w:r>
      <w:r w:rsidR="00D760AF">
        <w:rPr>
          <w:szCs w:val="24"/>
        </w:rPr>
        <w:t>.</w:t>
      </w:r>
    </w:p>
    <w:p w:rsidR="002A536A" w:rsidRDefault="002A536A" w:rsidP="003755D2">
      <w:pPr>
        <w:rPr>
          <w:szCs w:val="24"/>
        </w:rPr>
      </w:pPr>
    </w:p>
    <w:p w:rsidR="002A536A" w:rsidRDefault="002A536A" w:rsidP="003755D2">
      <w:pPr>
        <w:rPr>
          <w:szCs w:val="24"/>
        </w:rPr>
      </w:pPr>
    </w:p>
    <w:p w:rsidR="0028098E" w:rsidRDefault="0028098E" w:rsidP="003755D2">
      <w:pPr>
        <w:rPr>
          <w:szCs w:val="24"/>
        </w:rPr>
      </w:pPr>
    </w:p>
    <w:p w:rsidR="0028098E" w:rsidRDefault="0028098E" w:rsidP="0028098E">
      <w:pPr>
        <w:pStyle w:val="Nervous1"/>
      </w:pPr>
      <w:bookmarkStart w:id="18" w:name="_Toc6655882"/>
      <w:r>
        <w:t>DBS of NBM</w:t>
      </w:r>
      <w:bookmarkEnd w:id="18"/>
    </w:p>
    <w:p w:rsidR="00F63FCC" w:rsidRPr="00D974E8" w:rsidRDefault="00F63FCC" w:rsidP="00F63FCC">
      <w:pPr>
        <w:rPr>
          <w:u w:val="single"/>
        </w:rPr>
      </w:pPr>
      <w:r w:rsidRPr="00D974E8">
        <w:rPr>
          <w:u w:val="single"/>
        </w:rPr>
        <w:t>Gratwicke et al. / Neuroscience and Biobehavioral Reviews 37 (2013):</w:t>
      </w:r>
    </w:p>
    <w:p w:rsidR="00F63FCC" w:rsidRDefault="00F63FCC" w:rsidP="00F63FCC">
      <w:pPr>
        <w:rPr>
          <w:rFonts w:ascii="LFABP E+ Gulliver RM" w:hAnsi="LFABP E+ Gulliver RM" w:cs="LFABP E+ Gulliver RM"/>
          <w:sz w:val="16"/>
          <w:szCs w:val="16"/>
        </w:rPr>
      </w:pPr>
      <w:r>
        <w:rPr>
          <w:sz w:val="16"/>
          <w:szCs w:val="16"/>
        </w:rPr>
        <w:t>humans</w:t>
      </w:r>
      <w:r>
        <w:rPr>
          <w:rFonts w:ascii="LFABP E+ Gulliver RM" w:hAnsi="LFABP E+ Gulliver RM" w:cs="LFABP E+ Gulliver RM"/>
          <w:sz w:val="16"/>
          <w:szCs w:val="16"/>
        </w:rPr>
        <w:t>The first case report describing DBS for dementia in a patient wasperformed nearly thirty years ago and targeted the NBM. In 1984Turnbull et al. unilaterally implanted a flexible electrode into theleft NBM via a frontal approach in a 74-year old man with clinicallymoderate AD. Stimulation was delivered at relatively low frequency(bipolar, 3 V, 50 Hz, pulse width 210 ms) in cycles of 15 s on followedby 12 min off (</w:t>
      </w:r>
      <w:r>
        <w:rPr>
          <w:rFonts w:ascii="LFABP E+ Gulliver RM" w:hAnsi="LFABP E+ Gulliver RM" w:cs="LFABP E+ Gulliver RM"/>
          <w:color w:val="0080AC"/>
          <w:sz w:val="16"/>
          <w:szCs w:val="16"/>
        </w:rPr>
        <w:t>Turnbull et al., 1985</w:t>
      </w:r>
      <w:r>
        <w:rPr>
          <w:rFonts w:ascii="LFABP E+ Gulliver RM" w:hAnsi="LFABP E+ Gulliver RM" w:cs="LFABP E+ Gulliver RM"/>
          <w:sz w:val="16"/>
          <w:szCs w:val="16"/>
        </w:rPr>
        <w:t xml:space="preserve">). They did not observe any clin-ical improvement in cognition, however an arrest in the decline ofcortical metabolic activity was observed on the treated side over asix-month period compared to the unstimulated hemisphere. Con-clusions regarding the relevance of these metabolic changes mustbe guarded given the failure to show clinical improvement. Possiblemethodological factors limiting the clinical effect include unilateralshort-lasting and intermittent stimulation and that NBM targetingwas neither image nor pathologically verified, therefore accurateelectrode placement cannot be certain. In addition, the particularstimulus cycle chosen was unusual by today’s standards given thatstimulation was only delivered for a total of 30 min in every 24 h.Following these uninspiring results the concept of DBS fordementia was shelved until more recently when </w:t>
      </w:r>
      <w:r>
        <w:rPr>
          <w:rFonts w:ascii="LFABP E+ Gulliver RM" w:hAnsi="LFABP E+ Gulliver RM" w:cs="LFABP E+ Gulliver RM"/>
          <w:color w:val="0080AC"/>
          <w:sz w:val="16"/>
          <w:szCs w:val="16"/>
        </w:rPr>
        <w:t xml:space="preserve">Laxton et al.(2010) </w:t>
      </w:r>
      <w:r>
        <w:rPr>
          <w:rFonts w:ascii="LFABP E+ Gulliver RM" w:hAnsi="LFABP E+ Gulliver RM" w:cs="LFABP E+ Gulliver RM"/>
          <w:sz w:val="16"/>
          <w:szCs w:val="16"/>
        </w:rPr>
        <w:t>investigated the potential therapeutic use of DBS to treat ADthrough stimulation of the fornix. Having unexpectedly observedthat stimulation of this target evoked detailed autobiographicalmemories when attempting to modulate appetite in an obesepatient (</w:t>
      </w:r>
      <w:r>
        <w:rPr>
          <w:rFonts w:ascii="LFABP E+ Gulliver RM" w:hAnsi="LFABP E+ Gulliver RM" w:cs="LFABP E+ Gulliver RM"/>
          <w:color w:val="0080AC"/>
          <w:sz w:val="16"/>
          <w:szCs w:val="16"/>
        </w:rPr>
        <w:t>Hamani et al., 2008</w:t>
      </w:r>
      <w:r>
        <w:rPr>
          <w:rFonts w:ascii="LFABP E+ Gulliver RM" w:hAnsi="LFABP E+ Gulliver RM" w:cs="LFABP E+ Gulliver RM"/>
          <w:sz w:val="16"/>
          <w:szCs w:val="16"/>
        </w:rPr>
        <w:t xml:space="preserve">), they undertook a phase I trial offornix HFS (bilateral, bipolar, 3–3.5 V, 130 Hz, 90 </w:t>
      </w:r>
      <w:r>
        <w:rPr>
          <w:rFonts w:ascii="LFDEK A+ MATHG" w:hAnsi="LFDEK A+ MATHG" w:cs="LFDEK A+ MATHG"/>
          <w:sz w:val="16"/>
          <w:szCs w:val="16"/>
        </w:rPr>
        <w:t xml:space="preserve"> _</w:t>
      </w:r>
      <w:r>
        <w:rPr>
          <w:rFonts w:ascii="LFABP E+ Gulliver RM" w:hAnsi="LFABP E+ Gulliver RM" w:cs="LFABP E+ Gulliver RM"/>
          <w:sz w:val="16"/>
          <w:szCs w:val="16"/>
        </w:rPr>
        <w:t>s) in six patientswith mild AD (</w:t>
      </w:r>
      <w:r>
        <w:rPr>
          <w:rFonts w:ascii="LFABP E+ Gulliver RM" w:hAnsi="LFABP E+ Gulliver RM" w:cs="LFABP E+ Gulliver RM"/>
          <w:color w:val="0080AC"/>
          <w:sz w:val="16"/>
          <w:szCs w:val="16"/>
        </w:rPr>
        <w:t>Laxton et al., 2010</w:t>
      </w:r>
      <w:r>
        <w:rPr>
          <w:rFonts w:ascii="LFABP E+ Gulliver RM" w:hAnsi="LFABP E+ Gulliver RM" w:cs="LFABP E+ Gulliver RM"/>
          <w:sz w:val="16"/>
          <w:szCs w:val="16"/>
        </w:rPr>
        <w:t xml:space="preserve">). sLORETA imaging showedthat this intervention activated ipsilateral medial temporal struc-tures within the memory circuit of Papez. However, no significantclinical benefit at the group level was reported. Nevertheless, con-sistent with the results of </w:t>
      </w:r>
      <w:r>
        <w:rPr>
          <w:rFonts w:ascii="LFABP E+ Gulliver RM" w:hAnsi="LFABP E+ Gulliver RM" w:cs="LFABP E+ Gulliver RM"/>
          <w:color w:val="0080AC"/>
          <w:sz w:val="16"/>
          <w:szCs w:val="16"/>
        </w:rPr>
        <w:t>Turnbull et al. (1985)</w:t>
      </w:r>
      <w:r>
        <w:rPr>
          <w:rFonts w:ascii="LFABP E+ Gulliver RM" w:hAnsi="LFABP E+ Gulliver RM" w:cs="LFABP E+ Gulliver RM"/>
          <w:sz w:val="16"/>
          <w:szCs w:val="16"/>
        </w:rPr>
        <w:t xml:space="preserve">, chronic stimulationreversed depressed regional glucose metabolism in all patients,particularly in temporal and parietal cortices, indicating that DBSto different subcortical structures produces a common biologicaleffect (see </w:t>
      </w:r>
      <w:r>
        <w:rPr>
          <w:rFonts w:ascii="LFABP E+ Gulliver RM" w:hAnsi="LFABP E+ Gulliver RM" w:cs="LFABP E+ Gulliver RM"/>
          <w:color w:val="0080AC"/>
          <w:sz w:val="16"/>
          <w:szCs w:val="16"/>
        </w:rPr>
        <w:t xml:space="preserve">Laxton and Lozano, 2012 </w:t>
      </w:r>
      <w:r>
        <w:rPr>
          <w:rFonts w:ascii="LFABP E+ Gulliver RM" w:hAnsi="LFABP E+ Gulliver RM" w:cs="LFABP E+ Gulliver RM"/>
          <w:sz w:val="16"/>
          <w:szCs w:val="16"/>
        </w:rPr>
        <w:t>for review).Another logical therapeutic strategy in dementia is to modulatefunction in medial temporal structures directly. However, severalexperiments show that direct LFS to the hippocampus has theopposite effect and actually acutely impairs recognition memoryin normal human subjects (</w:t>
      </w:r>
      <w:r>
        <w:rPr>
          <w:rFonts w:ascii="LFABP E+ Gulliver RM" w:hAnsi="LFABP E+ Gulliver RM" w:cs="LFABP E+ Gulliver RM"/>
          <w:color w:val="0080AC"/>
          <w:sz w:val="16"/>
          <w:szCs w:val="16"/>
        </w:rPr>
        <w:t>Coleshill et al., 2004</w:t>
      </w:r>
      <w:r>
        <w:rPr>
          <w:rFonts w:ascii="LFABP E+ Gulliver RM" w:hAnsi="LFABP E+ Gulliver RM" w:cs="LFABP E+ Gulliver RM"/>
          <w:sz w:val="16"/>
          <w:szCs w:val="16"/>
        </w:rPr>
        <w:t>), particularly dis-rupting the encoding phase (</w:t>
      </w:r>
      <w:r>
        <w:rPr>
          <w:rFonts w:ascii="LFABP E+ Gulliver RM" w:hAnsi="LFABP E+ Gulliver RM" w:cs="LFABP E+ Gulliver RM"/>
          <w:color w:val="0080AC"/>
          <w:sz w:val="16"/>
          <w:szCs w:val="16"/>
        </w:rPr>
        <w:t>Lacruz et al., 2010</w:t>
      </w:r>
      <w:r>
        <w:rPr>
          <w:rFonts w:ascii="LFABP E+ Gulliver RM" w:hAnsi="LFABP E+ Gulliver RM" w:cs="LFABP E+ Gulliver RM"/>
          <w:sz w:val="16"/>
          <w:szCs w:val="16"/>
        </w:rPr>
        <w:t>). However, Suthanaet al. have shown that acute LFS to neighbouring entorhinal cortexenhances spatial memory in cognitively normal human subjectswhen applied during the learning phase (</w:t>
      </w:r>
      <w:r>
        <w:rPr>
          <w:rFonts w:ascii="LFABP E+ Gulliver RM" w:hAnsi="LFABP E+ Gulliver RM" w:cs="LFABP E+ Gulliver RM"/>
          <w:color w:val="0080AC"/>
          <w:sz w:val="16"/>
          <w:szCs w:val="16"/>
        </w:rPr>
        <w:t>Suthana et al., 2012</w:t>
      </w:r>
      <w:r>
        <w:rPr>
          <w:rFonts w:ascii="LFABP E+ Gulliver RM" w:hAnsi="LFABP E+ Gulliver RM" w:cs="LFABP E+ Gulliver RM"/>
          <w:sz w:val="16"/>
          <w:szCs w:val="16"/>
        </w:rPr>
        <w:t xml:space="preserve">). Per-formance on a spatial navigation task improved by an average of64% across six subjects when LFS (bipolar, up to 3.0 V, 50 Hz, 300 </w:t>
      </w:r>
      <w:r>
        <w:rPr>
          <w:rFonts w:ascii="LFDEK A+ MATHG" w:hAnsi="LFDEK A+ MATHG" w:cs="LFDEK A+ MATHG"/>
          <w:sz w:val="16"/>
          <w:szCs w:val="16"/>
        </w:rPr>
        <w:t xml:space="preserve"> _</w:t>
      </w:r>
      <w:r>
        <w:rPr>
          <w:rFonts w:ascii="LFABP E+ Gulliver RM" w:hAnsi="LFABP E+ Gulliver RM" w:cs="LFABP E+ Gulliver RM"/>
          <w:sz w:val="16"/>
          <w:szCs w:val="16"/>
        </w:rPr>
        <w:t xml:space="preserve">s)was applied to unilateral entorhinal cortex. Stimulation hereincreased theta power and theta-phase resetting in the ipsilateralhippocampal EEG (which is associated with new memory forma-tion as described above). Hence entorhinal cortex stimulation couldrepresent one strategy for improving memory function in demen-tia. However its clinical value is limited by the fact that it does notappear to address other cognitive deficits in the disease such asproblems with attention, perception and executive function.A promising result using LFS to treat dementia comes fromthe single case report of </w:t>
      </w:r>
      <w:r>
        <w:rPr>
          <w:rFonts w:ascii="LFABP E+ Gulliver RM" w:hAnsi="LFABP E+ Gulliver RM" w:cs="LFABP E+ Gulliver RM"/>
          <w:color w:val="0080AC"/>
          <w:sz w:val="16"/>
          <w:szCs w:val="16"/>
        </w:rPr>
        <w:t xml:space="preserve">Freund et al. (2009) </w:t>
      </w:r>
      <w:r>
        <w:rPr>
          <w:rFonts w:ascii="LFABP E+ Gulliver RM" w:hAnsi="LFABP E+ Gulliver RM" w:cs="LFABP E+ Gulliver RM"/>
          <w:sz w:val="16"/>
          <w:szCs w:val="16"/>
        </w:rPr>
        <w:t xml:space="preserve">who returned tothe concept of stimulating the NBM as a therapeutic interventionin dementia. Their patient was a 71-year-old man suffering fromsevere PDD with predominant symptoms of poor short-term mem-ory and visual perceptual difficulties: At baseline he could recallonly 12 words in the Rey Auditory Verbal Learning Test (AVLT(sum)– a test of immediate episodic memory and learning) and wascompletely unable to perform the delayed conditions of the test(AVLT(recall) and (recog) – tests of long term memory). He scored4 points on the Clock Drawing Task (CDT – a test of visual spa-tial organization) and took 5.5 min to complete the Trail MakingTest (TMT-A – a test of visual scanning, behavioural regulation,sequencing and motor speed). In addition to these impairments healso displayed poor attention, rigid thinking, psychomotor slowingand apraxia. He underwent implantation of bilateral DBS electrodesinto the Ch4i subsector of NBM and monopolar LFS was initiated(1.0 V, 20 Hz, 120 </w:t>
      </w:r>
      <w:r>
        <w:rPr>
          <w:rFonts w:ascii="LFDEK A+ MATHG" w:hAnsi="LFDEK A+ MATHG" w:cs="LFDEK A+ MATHG"/>
          <w:sz w:val="16"/>
          <w:szCs w:val="16"/>
        </w:rPr>
        <w:t xml:space="preserve"> _</w:t>
      </w:r>
      <w:r>
        <w:rPr>
          <w:rFonts w:ascii="LFABP E+ Gulliver RM" w:hAnsi="LFABP E+ Gulliver RM" w:cs="LFABP E+ Gulliver RM"/>
          <w:sz w:val="16"/>
          <w:szCs w:val="16"/>
        </w:rPr>
        <w:t>s). Ch4i was chosen as it is the largest subsectorof NBM (</w:t>
      </w:r>
      <w:r>
        <w:rPr>
          <w:rFonts w:ascii="LFABP E+ Gulliver RM" w:hAnsi="LFABP E+ Gulliver RM" w:cs="LFABP E+ Gulliver RM"/>
          <w:color w:val="0080AC"/>
          <w:sz w:val="16"/>
          <w:szCs w:val="16"/>
        </w:rPr>
        <w:t>Fig. 2</w:t>
      </w:r>
      <w:r>
        <w:rPr>
          <w:rFonts w:ascii="LFABP E+ Gulliver RM" w:hAnsi="LFABP E+ Gulliver RM" w:cs="LFABP E+ Gulliver RM"/>
          <w:sz w:val="16"/>
          <w:szCs w:val="16"/>
        </w:rPr>
        <w:t>) (</w:t>
      </w:r>
      <w:r>
        <w:rPr>
          <w:rFonts w:ascii="LFABP E+ Gulliver RM" w:hAnsi="LFABP E+ Gulliver RM" w:cs="LFABP E+ Gulliver RM"/>
          <w:color w:val="0080AC"/>
          <w:sz w:val="16"/>
          <w:szCs w:val="16"/>
        </w:rPr>
        <w:t>Mesulam and Geula, 1988</w:t>
      </w:r>
      <w:r>
        <w:rPr>
          <w:rFonts w:ascii="LFABP E+ Gulliver RM" w:hAnsi="LFABP E+ Gulliver RM" w:cs="LFABP E+ Gulliver RM"/>
          <w:sz w:val="16"/>
          <w:szCs w:val="16"/>
        </w:rPr>
        <w:t>), therefore giving thehighest possibility of successful electrode placement. Moreover, ithas the most widespread cortical projections, giving the potentialto affect more cognitive domains (</w:t>
      </w:r>
      <w:r>
        <w:rPr>
          <w:rFonts w:ascii="LFABP E+ Gulliver RM" w:hAnsi="LFABP E+ Gulliver RM" w:cs="LFABP E+ Gulliver RM"/>
          <w:color w:val="0080AC"/>
          <w:sz w:val="16"/>
          <w:szCs w:val="16"/>
        </w:rPr>
        <w:t>Fig. 3</w:t>
      </w:r>
      <w:r>
        <w:rPr>
          <w:rFonts w:ascii="LFABP E+ Gulliver RM" w:hAnsi="LFABP E+ Gulliver RM" w:cs="LFABP E+ Gulliver RM"/>
          <w:sz w:val="16"/>
          <w:szCs w:val="16"/>
        </w:rPr>
        <w:t>) (</w:t>
      </w:r>
      <w:r>
        <w:rPr>
          <w:rFonts w:ascii="LFABP E+ Gulliver RM" w:hAnsi="LFABP E+ Gulliver RM" w:cs="LFABP E+ Gulliver RM"/>
          <w:color w:val="0080AC"/>
          <w:sz w:val="16"/>
          <w:szCs w:val="16"/>
        </w:rPr>
        <w:t>Mesulam et al., 1983</w:t>
      </w:r>
      <w:r>
        <w:rPr>
          <w:rFonts w:ascii="LFABP E+ Gulliver RM" w:hAnsi="LFABP E+ Gulliver RM" w:cs="LFABP E+ Gulliver RM"/>
          <w:sz w:val="16"/>
          <w:szCs w:val="16"/>
        </w:rPr>
        <w:t>).NBM DBS resulted in marked improvement in memory function:score on AVLT(sum) doubled to 25 indicating significant improve-ment in immediate episodic memory, and the patient was also ableto perform AVLT(recog) for the first time, recognizing six words,demonstrating some amelioration of long term memory function.Visual perceptual abilities increased with CDT score rising to 9 andTMT-A time falling to 2.5 min. Performance also improved on testsof processing speed and praxis, with additional benefits observed inattention, concentration, alertness, drive and spontaneity (</w:t>
      </w:r>
      <w:r>
        <w:rPr>
          <w:rFonts w:ascii="LFABP E+ Gulliver RM" w:hAnsi="LFABP E+ Gulliver RM" w:cs="LFABP E+ Gulliver RM"/>
          <w:color w:val="0080AC"/>
          <w:sz w:val="16"/>
          <w:szCs w:val="16"/>
        </w:rPr>
        <w:t>Barnikolet al., 2010; Freund et al., 2009</w:t>
      </w:r>
      <w:r>
        <w:rPr>
          <w:rFonts w:ascii="LFABP E+ Gulliver RM" w:hAnsi="LFABP E+ Gulliver RM" w:cs="LFABP E+ Gulliver RM"/>
          <w:sz w:val="16"/>
          <w:szCs w:val="16"/>
        </w:rPr>
        <w:t>). All these cognitive benefits weresustained for two months during constant stimulation and wereshown to be time-locked to the cessation and re-introduction ofNBM stimulation, and thus dependent upon it. The authors com-mented that the overall enhancement in personality features andsocial communication of the patient with NBM DBS was moreimpressive than the testing of individual cognitive faculties andcritically improved overall quality of life.This latter report demonstrates that DBS of the NBM can beperformed safely in individuals with advanced dementia and alsoprovides preliminary results showing that this intervention maymarkedly improve cognitive functioning. That the patient receivedbenefit across several cognitive domains is in line with the hypothe-sis that activation of the NBM can enhance the behavioural state andthereby boost a range of mental faculties including memory, atten-tion and perception, although the exact mechanism by which thiswas achieved remains to be proven. Of course these results mustbe interpreted with caution since the long-term effects and efficacyof NBM DBS is still unknown, and may depend on the severity ofdisease.These single case results using LFS need to be replicatedin other patients by other teams and such trials are ongoing(</w:t>
      </w:r>
      <w:r>
        <w:rPr>
          <w:rFonts w:ascii="LFABP E+ Gulliver RM" w:hAnsi="LFABP E+ Gulliver RM" w:cs="LFABP E+ Gulliver RM"/>
          <w:color w:val="0080AC"/>
          <w:sz w:val="16"/>
          <w:szCs w:val="16"/>
        </w:rPr>
        <w:t>www.clinicaltrials.gov</w:t>
      </w:r>
      <w:r>
        <w:rPr>
          <w:rFonts w:ascii="LFABP E+ Gulliver RM" w:hAnsi="LFABP E+ Gulliver RM" w:cs="LFABP E+ Gulliver RM"/>
          <w:sz w:val="16"/>
          <w:szCs w:val="16"/>
        </w:rPr>
        <w:t>). The major aims will be to establish theclinical efficacy of low frequency DBS of the NBM in dementia andto identify the specific patient characteristics that might indicate agreater likelihood of benefit, together with surgical targeting andtrajectory, stimulation parameters, and the possible utility of com-bining NBM DBS with electrical stimulation of other brain targets(particularly basal ganglia targets in PD patients).Dementia is a progressive disease and there is likely a limitedwindow of opportunity to stimulate the remaining NBM fibresbefore the nucleus becomes too degenerate for stimulation toenhance its output, therefore patients may need to be implantedearlier in the disease course. Patients suitable for NBM DBS trials arelikely to be those who have already tried cholinesterase inhibitors,have minimal cortical atrophy on imaging, lack significant co-morbidities and who have lucid intervals and capacity to consent.These considerations will reduce the risks of neurosurgery for thisvulnerable patient group and hopefully ensure the best outcomes.</w:t>
      </w:r>
    </w:p>
    <w:p w:rsidR="00F63FCC" w:rsidRDefault="00F63FCC" w:rsidP="00F63FCC"/>
    <w:p w:rsidR="0028098E" w:rsidRDefault="0028098E" w:rsidP="0028098E">
      <w:pPr>
        <w:pStyle w:val="Nervous5"/>
      </w:pPr>
      <w:bookmarkStart w:id="19" w:name="_Toc6655883"/>
      <w:r>
        <w:t>Trials</w:t>
      </w:r>
      <w:bookmarkEnd w:id="19"/>
    </w:p>
    <w:p w:rsidR="0028098E" w:rsidRDefault="0028098E" w:rsidP="0028098E">
      <w:r>
        <w:t>Nucleus Basalis Deep Brain Stimulation for Thinking &amp; Memory Problems in Parkinson's.</w:t>
      </w:r>
    </w:p>
    <w:p w:rsidR="0028098E" w:rsidRDefault="00CD0C40" w:rsidP="003755D2">
      <w:pPr>
        <w:rPr>
          <w:szCs w:val="24"/>
        </w:rPr>
      </w:pPr>
      <w:hyperlink r:id="rId45" w:history="1">
        <w:r w:rsidR="0028098E" w:rsidRPr="00202B0F">
          <w:rPr>
            <w:rStyle w:val="Hyperlink"/>
            <w:szCs w:val="24"/>
          </w:rPr>
          <w:t>https://www.clinicaltrials.gov/ct2/show/NCT01701544?term=NCT01701544&amp;rank=1</w:t>
        </w:r>
      </w:hyperlink>
    </w:p>
    <w:p w:rsidR="0028098E" w:rsidRDefault="0028098E" w:rsidP="003755D2">
      <w:pPr>
        <w:rPr>
          <w:szCs w:val="24"/>
        </w:rPr>
      </w:pPr>
    </w:p>
    <w:p w:rsidR="0028098E" w:rsidRDefault="0028098E" w:rsidP="0028098E">
      <w:r>
        <w:t>Deep Brain Stimulation for Patients With Dementia With Lewy Bodies</w:t>
      </w:r>
    </w:p>
    <w:p w:rsidR="0028098E" w:rsidRDefault="00CD0C40" w:rsidP="003755D2">
      <w:pPr>
        <w:rPr>
          <w:szCs w:val="24"/>
        </w:rPr>
      </w:pPr>
      <w:hyperlink r:id="rId46" w:history="1">
        <w:r w:rsidR="0028098E" w:rsidRPr="00202B0F">
          <w:rPr>
            <w:rStyle w:val="Hyperlink"/>
            <w:szCs w:val="24"/>
          </w:rPr>
          <w:t>https://www.clinicaltrials.gov/ct2/show/NCT02263937?term=NCT02263937&amp;rank=1</w:t>
        </w:r>
      </w:hyperlink>
    </w:p>
    <w:p w:rsidR="0028098E" w:rsidRDefault="0028098E" w:rsidP="003755D2">
      <w:pPr>
        <w:rPr>
          <w:szCs w:val="24"/>
        </w:rPr>
      </w:pPr>
    </w:p>
    <w:p w:rsidR="0028098E" w:rsidRDefault="0028098E" w:rsidP="003755D2">
      <w:pPr>
        <w:rPr>
          <w:szCs w:val="24"/>
        </w:rPr>
      </w:pPr>
    </w:p>
    <w:p w:rsidR="0028098E" w:rsidRPr="00CE2057" w:rsidRDefault="0028098E" w:rsidP="003755D2">
      <w:pPr>
        <w:rPr>
          <w:szCs w:val="24"/>
        </w:rPr>
      </w:pPr>
    </w:p>
    <w:p w:rsidR="00491FCD" w:rsidRPr="0061618C" w:rsidRDefault="00491FCD" w:rsidP="00491FCD">
      <w:pPr>
        <w:rPr>
          <w:szCs w:val="24"/>
        </w:rPr>
      </w:pPr>
      <w:r w:rsidRPr="00F34741">
        <w:rPr>
          <w:smallCaps/>
          <w:szCs w:val="24"/>
          <w:u w:val="single"/>
        </w:rPr>
        <w:t>Bibliography</w:t>
      </w:r>
      <w:r w:rsidRPr="00136669">
        <w:rPr>
          <w:szCs w:val="24"/>
        </w:rPr>
        <w:t xml:space="preserve"> for ch. “</w:t>
      </w:r>
      <w:r w:rsidR="008718F4">
        <w:rPr>
          <w:szCs w:val="24"/>
        </w:rPr>
        <w:t>Limbic System</w:t>
      </w:r>
      <w:r w:rsidRPr="00136669">
        <w:rPr>
          <w:szCs w:val="24"/>
        </w:rPr>
        <w:t>”</w:t>
      </w:r>
      <w:r>
        <w:rPr>
          <w:szCs w:val="24"/>
        </w:rPr>
        <w:t xml:space="preserve"> → </w:t>
      </w:r>
      <w:r w:rsidR="00FE01FF">
        <w:rPr>
          <w:szCs w:val="24"/>
        </w:rPr>
        <w:t xml:space="preserve">follow this </w:t>
      </w:r>
      <w:hyperlink r:id="rId47" w:tgtFrame="_blank" w:history="1">
        <w:r w:rsidR="00FE01FF">
          <w:rPr>
            <w:rStyle w:val="Hyperlink"/>
            <w:smallCaps/>
            <w:szCs w:val="24"/>
          </w:rPr>
          <w:t>link</w:t>
        </w:r>
        <w:r w:rsidR="00FE01FF">
          <w:rPr>
            <w:rStyle w:val="Hyperlink"/>
            <w:szCs w:val="24"/>
          </w:rPr>
          <w:t xml:space="preserve"> &gt;&gt;</w:t>
        </w:r>
      </w:hyperlink>
    </w:p>
    <w:p w:rsidR="005D7603" w:rsidRDefault="005D7603">
      <w:pPr>
        <w:rPr>
          <w:sz w:val="20"/>
        </w:rPr>
      </w:pPr>
    </w:p>
    <w:p w:rsidR="00F34741" w:rsidRDefault="00F34741" w:rsidP="00F34741">
      <w:pPr>
        <w:pBdr>
          <w:bottom w:val="single" w:sz="4" w:space="1" w:color="auto"/>
        </w:pBdr>
        <w:ind w:right="57"/>
        <w:rPr>
          <w:sz w:val="20"/>
        </w:rPr>
      </w:pPr>
    </w:p>
    <w:p w:rsidR="00F34741" w:rsidRPr="00B806B3" w:rsidRDefault="00F34741" w:rsidP="00F34741">
      <w:pPr>
        <w:pBdr>
          <w:bottom w:val="single" w:sz="4" w:space="1" w:color="auto"/>
        </w:pBdr>
        <w:ind w:right="57"/>
        <w:rPr>
          <w:sz w:val="20"/>
        </w:rPr>
      </w:pPr>
    </w:p>
    <w:p w:rsidR="008718F4" w:rsidRDefault="00CD0C40" w:rsidP="008718F4">
      <w:pPr>
        <w:jc w:val="right"/>
        <w:rPr>
          <w:rFonts w:ascii="Arial Black" w:hAnsi="Arial Black" w:cs="Arial"/>
          <w:color w:val="D68F00"/>
          <w:spacing w:val="10"/>
          <w:sz w:val="20"/>
        </w:rPr>
      </w:pPr>
      <w:hyperlink r:id="rId48" w:tgtFrame="_blank" w:history="1">
        <w:r w:rsidR="008718F4" w:rsidRPr="008810E6">
          <w:rPr>
            <w:rStyle w:val="Hyperlink"/>
            <w:rFonts w:ascii="Arial Black" w:hAnsi="Arial Black" w:cs="Arial"/>
            <w:color w:val="D68F00"/>
            <w:spacing w:val="10"/>
            <w:sz w:val="20"/>
          </w:rPr>
          <w:t>Viktor’s Notes</w:t>
        </w:r>
        <w:r w:rsidR="008718F4" w:rsidRPr="005D7603">
          <w:rPr>
            <w:rStyle w:val="Hyperlink"/>
            <w:rFonts w:ascii="Lucida Sans Unicode" w:hAnsi="Lucida Sans Unicode" w:cs="Lucida Sans Unicode"/>
            <w:color w:val="CC8800"/>
            <w:spacing w:val="10"/>
            <w:sz w:val="20"/>
          </w:rPr>
          <w:t>℠</w:t>
        </w:r>
        <w:r w:rsidR="008718F4" w:rsidRPr="003213FF">
          <w:rPr>
            <w:rStyle w:val="Hyperlink"/>
            <w:rFonts w:ascii="Arial Black" w:hAnsi="Arial Black" w:cs="Arial"/>
            <w:color w:val="557CF9"/>
            <w:spacing w:val="10"/>
            <w:sz w:val="28"/>
            <w:szCs w:val="28"/>
          </w:rPr>
          <w:t xml:space="preserve"> </w:t>
        </w:r>
        <w:r w:rsidR="008718F4" w:rsidRPr="008810E6">
          <w:rPr>
            <w:rStyle w:val="Hyperlink"/>
            <w:rFonts w:ascii="Arial Black" w:hAnsi="Arial Black" w:cs="Arial"/>
            <w:color w:val="557CF9"/>
            <w:spacing w:val="10"/>
            <w:sz w:val="20"/>
          </w:rPr>
          <w:t>for the Neurosurgery Resident</w:t>
        </w:r>
      </w:hyperlink>
    </w:p>
    <w:p w:rsidR="008718F4" w:rsidRPr="00F34741" w:rsidRDefault="00CD0C40" w:rsidP="008718F4">
      <w:pPr>
        <w:jc w:val="right"/>
        <w:rPr>
          <w:rFonts w:ascii="Arial" w:hAnsi="Arial" w:cs="Arial"/>
          <w:color w:val="000000"/>
          <w:spacing w:val="14"/>
          <w:sz w:val="20"/>
        </w:rPr>
      </w:pPr>
      <w:hyperlink r:id="rId49" w:tgtFrame="_blank" w:history="1">
        <w:r w:rsidR="008718F4" w:rsidRPr="007428BB">
          <w:rPr>
            <w:rStyle w:val="Hyperlink"/>
            <w:rFonts w:ascii="Arial" w:hAnsi="Arial" w:cs="Arial"/>
            <w:color w:val="000000"/>
            <w:spacing w:val="14"/>
            <w:sz w:val="20"/>
          </w:rPr>
          <w:t>Please visit website at www.NeurosurgeryResident.net</w:t>
        </w:r>
      </w:hyperlink>
    </w:p>
    <w:bookmarkEnd w:id="0"/>
    <w:p w:rsidR="008718F4" w:rsidRPr="004F5FF9" w:rsidRDefault="008718F4" w:rsidP="00F34741">
      <w:pPr>
        <w:jc w:val="right"/>
        <w:rPr>
          <w:rFonts w:ascii="Arial" w:hAnsi="Arial" w:cs="Arial"/>
          <w:color w:val="000000"/>
          <w:spacing w:val="16"/>
          <w:sz w:val="20"/>
        </w:rPr>
      </w:pPr>
    </w:p>
    <w:sectPr w:rsidR="008718F4" w:rsidRPr="004F5FF9" w:rsidSect="00282B61">
      <w:headerReference w:type="even" r:id="rId50"/>
      <w:headerReference w:type="default" r:id="rId51"/>
      <w:footerReference w:type="even" r:id="rId52"/>
      <w:footerReference w:type="default" r:id="rId53"/>
      <w:headerReference w:type="first" r:id="rId54"/>
      <w:footerReference w:type="first" r:id="rId55"/>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4557" w:rsidRDefault="00D44557">
      <w:r>
        <w:separator/>
      </w:r>
    </w:p>
  </w:endnote>
  <w:endnote w:type="continuationSeparator" w:id="0">
    <w:p w:rsidR="00D44557" w:rsidRDefault="00D445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Dutch801BT-Roman">
    <w:panose1 w:val="00000000000000000000"/>
    <w:charset w:val="00"/>
    <w:family w:val="roman"/>
    <w:notTrueType/>
    <w:pitch w:val="default"/>
    <w:sig w:usb0="00000003" w:usb1="00000000" w:usb2="00000000" w:usb3="00000000" w:csb0="00000001" w:csb1="00000000"/>
  </w:font>
  <w:font w:name="Dutch801BT-Bold">
    <w:panose1 w:val="00000000000000000000"/>
    <w:charset w:val="00"/>
    <w:family w:val="roman"/>
    <w:notTrueType/>
    <w:pitch w:val="default"/>
    <w:sig w:usb0="00000003" w:usb1="00000000" w:usb2="00000000" w:usb3="00000000" w:csb0="00000001" w:csb1="00000000"/>
  </w:font>
  <w:font w:name="Dutch801BT-Italic">
    <w:panose1 w:val="00000000000000000000"/>
    <w:charset w:val="00"/>
    <w:family w:val="swiss"/>
    <w:notTrueType/>
    <w:pitch w:val="default"/>
    <w:sig w:usb0="00000003" w:usb1="00000000" w:usb2="00000000" w:usb3="00000000" w:csb0="00000001" w:csb1="00000000"/>
  </w:font>
  <w:font w:name="Times-Roman">
    <w:panose1 w:val="00000000000000000000"/>
    <w:charset w:val="00"/>
    <w:family w:val="roman"/>
    <w:notTrueType/>
    <w:pitch w:val="default"/>
    <w:sig w:usb0="00000003" w:usb1="00000000" w:usb2="00000000" w:usb3="00000000" w:csb0="00000001" w:csb1="00000000"/>
  </w:font>
  <w:font w:name="AdvP7C2E">
    <w:panose1 w:val="00000000000000000000"/>
    <w:charset w:val="00"/>
    <w:family w:val="swiss"/>
    <w:notTrueType/>
    <w:pitch w:val="default"/>
    <w:sig w:usb0="00000003" w:usb1="00000000" w:usb2="00000000" w:usb3="00000000" w:csb0="00000001" w:csb1="00000000"/>
  </w:font>
  <w:font w:name="LFABP E+ Gulliver RM">
    <w:altName w:val="Gulliver RM"/>
    <w:panose1 w:val="00000000000000000000"/>
    <w:charset w:val="00"/>
    <w:family w:val="roman"/>
    <w:notTrueType/>
    <w:pitch w:val="default"/>
    <w:sig w:usb0="00000003" w:usb1="00000000" w:usb2="00000000" w:usb3="00000000" w:csb0="00000001" w:csb1="00000000"/>
  </w:font>
  <w:font w:name="LFDEK A+ MATHG">
    <w:altName w:val="MATHG"/>
    <w:panose1 w:val="00000000000000000000"/>
    <w:charset w:val="00"/>
    <w:family w:val="swiss"/>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46C9" w:rsidRDefault="00C746C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46C9" w:rsidRDefault="00C746C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46C9" w:rsidRDefault="00C746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4557" w:rsidRDefault="00D44557">
      <w:r>
        <w:separator/>
      </w:r>
    </w:p>
  </w:footnote>
  <w:footnote w:type="continuationSeparator" w:id="0">
    <w:p w:rsidR="00D44557" w:rsidRDefault="00D445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46C9" w:rsidRDefault="00C746C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46C9" w:rsidRPr="00580C19" w:rsidRDefault="00C746C9" w:rsidP="00ED0D1F">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8752" behindDoc="1" locked="0" layoutInCell="1" allowOverlap="1">
          <wp:simplePos x="0" y="0"/>
          <wp:positionH relativeFrom="column">
            <wp:posOffset>-213995</wp:posOffset>
          </wp:positionH>
          <wp:positionV relativeFrom="paragraph">
            <wp:posOffset>-26670</wp:posOffset>
          </wp:positionV>
          <wp:extent cx="952500" cy="247650"/>
          <wp:effectExtent l="1905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srcRect/>
                  <a:stretch>
                    <a:fillRect/>
                  </a:stretch>
                </pic:blipFill>
                <pic:spPr bwMode="auto">
                  <a:xfrm>
                    <a:off x="0" y="0"/>
                    <a:ext cx="952500" cy="247650"/>
                  </a:xfrm>
                  <a:prstGeom prst="rect">
                    <a:avLst/>
                  </a:prstGeom>
                  <a:noFill/>
                  <a:ln w="9525">
                    <a:noFill/>
                    <a:miter lim="800000"/>
                    <a:headEnd/>
                    <a:tailEnd/>
                  </a:ln>
                </pic:spPr>
              </pic:pic>
            </a:graphicData>
          </a:graphic>
        </wp:anchor>
      </w:drawing>
    </w:r>
    <w:r>
      <w:rPr>
        <w:b/>
        <w:caps/>
      </w:rPr>
      <w:tab/>
    </w:r>
    <w:r w:rsidRPr="003755D2">
      <w:rPr>
        <w:b/>
        <w:smallCaps/>
      </w:rPr>
      <w:t>Nucleus basalis of Meynert</w:t>
    </w:r>
    <w:r>
      <w:rPr>
        <w:b/>
        <w:bCs/>
        <w:iCs/>
        <w:smallCaps/>
      </w:rPr>
      <w:tab/>
    </w:r>
    <w:r>
      <w:t>A136 (</w:t>
    </w:r>
    <w:r>
      <w:fldChar w:fldCharType="begin"/>
    </w:r>
    <w:r>
      <w:instrText xml:space="preserve"> PAGE </w:instrText>
    </w:r>
    <w:r>
      <w:fldChar w:fldCharType="separate"/>
    </w:r>
    <w:r w:rsidR="00CD0C40">
      <w:rPr>
        <w:noProof/>
      </w:rPr>
      <w:t>15</w:t>
    </w:r>
    <w:r>
      <w:rPr>
        <w:noProof/>
      </w:rPr>
      <w:fldChar w:fldCharType="end"/>
    </w:r>
    <w: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746C9" w:rsidRDefault="00C746C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45764"/>
    <w:multiLevelType w:val="hybridMultilevel"/>
    <w:tmpl w:val="BBDA0E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5B866C6"/>
    <w:multiLevelType w:val="hybridMultilevel"/>
    <w:tmpl w:val="30A6A8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27BE5BA7"/>
    <w:multiLevelType w:val="hybridMultilevel"/>
    <w:tmpl w:val="634A722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FF461A0"/>
    <w:multiLevelType w:val="hybridMultilevel"/>
    <w:tmpl w:val="E98C47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459D6867"/>
    <w:multiLevelType w:val="hybridMultilevel"/>
    <w:tmpl w:val="25C2E7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46724091"/>
    <w:multiLevelType w:val="hybridMultilevel"/>
    <w:tmpl w:val="8E64120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D61C96"/>
    <w:multiLevelType w:val="hybridMultilevel"/>
    <w:tmpl w:val="9B1AB0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51766AA1"/>
    <w:multiLevelType w:val="hybridMultilevel"/>
    <w:tmpl w:val="FD5EAE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71A647C6"/>
    <w:multiLevelType w:val="hybridMultilevel"/>
    <w:tmpl w:val="8690C41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15:restartNumberingAfterBreak="0">
    <w:nsid w:val="740D59C1"/>
    <w:multiLevelType w:val="hybridMultilevel"/>
    <w:tmpl w:val="ADB20CF4"/>
    <w:lvl w:ilvl="0" w:tplc="F1781812">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8F51992"/>
    <w:multiLevelType w:val="hybridMultilevel"/>
    <w:tmpl w:val="352679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0"/>
  </w:num>
  <w:num w:numId="4">
    <w:abstractNumId w:val="8"/>
  </w:num>
  <w:num w:numId="5">
    <w:abstractNumId w:val="1"/>
  </w:num>
  <w:num w:numId="6">
    <w:abstractNumId w:val="4"/>
  </w:num>
  <w:num w:numId="7">
    <w:abstractNumId w:val="3"/>
  </w:num>
  <w:num w:numId="8">
    <w:abstractNumId w:val="7"/>
  </w:num>
  <w:num w:numId="9">
    <w:abstractNumId w:val="10"/>
  </w:num>
  <w:num w:numId="10">
    <w:abstractNumId w:val="6"/>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4427"/>
    <w:rsid w:val="00024EE0"/>
    <w:rsid w:val="0003254E"/>
    <w:rsid w:val="00032C46"/>
    <w:rsid w:val="00037008"/>
    <w:rsid w:val="00055C60"/>
    <w:rsid w:val="00060D46"/>
    <w:rsid w:val="000615DB"/>
    <w:rsid w:val="00062D30"/>
    <w:rsid w:val="00064B56"/>
    <w:rsid w:val="000655BA"/>
    <w:rsid w:val="00070E88"/>
    <w:rsid w:val="000910FB"/>
    <w:rsid w:val="0009465D"/>
    <w:rsid w:val="000A6CE7"/>
    <w:rsid w:val="000B1887"/>
    <w:rsid w:val="000F2F9E"/>
    <w:rsid w:val="001004EB"/>
    <w:rsid w:val="001146FA"/>
    <w:rsid w:val="00115FAA"/>
    <w:rsid w:val="001235E0"/>
    <w:rsid w:val="00146970"/>
    <w:rsid w:val="00167DDB"/>
    <w:rsid w:val="00172F04"/>
    <w:rsid w:val="001970B9"/>
    <w:rsid w:val="001B66E5"/>
    <w:rsid w:val="001C4B6E"/>
    <w:rsid w:val="001D715A"/>
    <w:rsid w:val="001E1B9C"/>
    <w:rsid w:val="001E3BB7"/>
    <w:rsid w:val="00201A7F"/>
    <w:rsid w:val="00201F72"/>
    <w:rsid w:val="00211A76"/>
    <w:rsid w:val="00220A7C"/>
    <w:rsid w:val="00225C1A"/>
    <w:rsid w:val="002271B5"/>
    <w:rsid w:val="00241343"/>
    <w:rsid w:val="00245764"/>
    <w:rsid w:val="00246000"/>
    <w:rsid w:val="00246702"/>
    <w:rsid w:val="0024728D"/>
    <w:rsid w:val="00247703"/>
    <w:rsid w:val="0028098E"/>
    <w:rsid w:val="00282B61"/>
    <w:rsid w:val="002A4930"/>
    <w:rsid w:val="002A536A"/>
    <w:rsid w:val="002A7045"/>
    <w:rsid w:val="002D47B2"/>
    <w:rsid w:val="002E00CC"/>
    <w:rsid w:val="002F556E"/>
    <w:rsid w:val="003032A0"/>
    <w:rsid w:val="00310F1D"/>
    <w:rsid w:val="00313EAF"/>
    <w:rsid w:val="00316CF3"/>
    <w:rsid w:val="003213FF"/>
    <w:rsid w:val="003261C0"/>
    <w:rsid w:val="0033222A"/>
    <w:rsid w:val="00334A88"/>
    <w:rsid w:val="003400CC"/>
    <w:rsid w:val="0035412B"/>
    <w:rsid w:val="0036399E"/>
    <w:rsid w:val="003643C1"/>
    <w:rsid w:val="003755D2"/>
    <w:rsid w:val="00397578"/>
    <w:rsid w:val="003A3418"/>
    <w:rsid w:val="003A5263"/>
    <w:rsid w:val="003A6DF0"/>
    <w:rsid w:val="003B24F4"/>
    <w:rsid w:val="003B46C9"/>
    <w:rsid w:val="003C0E9D"/>
    <w:rsid w:val="003C398F"/>
    <w:rsid w:val="003C7ED0"/>
    <w:rsid w:val="003D0325"/>
    <w:rsid w:val="003D0EFB"/>
    <w:rsid w:val="003E6C0B"/>
    <w:rsid w:val="003F33CF"/>
    <w:rsid w:val="004000BF"/>
    <w:rsid w:val="0041602F"/>
    <w:rsid w:val="0041621A"/>
    <w:rsid w:val="00432E1A"/>
    <w:rsid w:val="0047449B"/>
    <w:rsid w:val="0047669B"/>
    <w:rsid w:val="00477556"/>
    <w:rsid w:val="00491C32"/>
    <w:rsid w:val="00491FCD"/>
    <w:rsid w:val="00492509"/>
    <w:rsid w:val="004A3807"/>
    <w:rsid w:val="004B385B"/>
    <w:rsid w:val="004C375C"/>
    <w:rsid w:val="004C66D2"/>
    <w:rsid w:val="004D0098"/>
    <w:rsid w:val="004E05C0"/>
    <w:rsid w:val="004E39F8"/>
    <w:rsid w:val="004F2530"/>
    <w:rsid w:val="004F5FF9"/>
    <w:rsid w:val="00510034"/>
    <w:rsid w:val="00514AF8"/>
    <w:rsid w:val="0052098B"/>
    <w:rsid w:val="00520CBA"/>
    <w:rsid w:val="00522BC9"/>
    <w:rsid w:val="00530DB6"/>
    <w:rsid w:val="0055581D"/>
    <w:rsid w:val="00555E18"/>
    <w:rsid w:val="00556365"/>
    <w:rsid w:val="005635B1"/>
    <w:rsid w:val="005672F4"/>
    <w:rsid w:val="0057767C"/>
    <w:rsid w:val="00580C19"/>
    <w:rsid w:val="00595C8B"/>
    <w:rsid w:val="005A012F"/>
    <w:rsid w:val="005A702B"/>
    <w:rsid w:val="005D3929"/>
    <w:rsid w:val="005D7603"/>
    <w:rsid w:val="005E08AF"/>
    <w:rsid w:val="005F133E"/>
    <w:rsid w:val="005F2A30"/>
    <w:rsid w:val="00604059"/>
    <w:rsid w:val="00606CA2"/>
    <w:rsid w:val="00612E29"/>
    <w:rsid w:val="00613516"/>
    <w:rsid w:val="00627403"/>
    <w:rsid w:val="00656414"/>
    <w:rsid w:val="0065710A"/>
    <w:rsid w:val="00665E06"/>
    <w:rsid w:val="00694760"/>
    <w:rsid w:val="006A3349"/>
    <w:rsid w:val="006A7427"/>
    <w:rsid w:val="006B6184"/>
    <w:rsid w:val="006C18BB"/>
    <w:rsid w:val="006C704D"/>
    <w:rsid w:val="006C747B"/>
    <w:rsid w:val="006D0D5C"/>
    <w:rsid w:val="006D4083"/>
    <w:rsid w:val="006E28C8"/>
    <w:rsid w:val="006E6BF2"/>
    <w:rsid w:val="006F2364"/>
    <w:rsid w:val="007076DF"/>
    <w:rsid w:val="00711C9B"/>
    <w:rsid w:val="00716FE1"/>
    <w:rsid w:val="00721467"/>
    <w:rsid w:val="007428BB"/>
    <w:rsid w:val="00751186"/>
    <w:rsid w:val="0075422A"/>
    <w:rsid w:val="0075460F"/>
    <w:rsid w:val="00755479"/>
    <w:rsid w:val="00763CEB"/>
    <w:rsid w:val="00780D78"/>
    <w:rsid w:val="007950C5"/>
    <w:rsid w:val="007B0D25"/>
    <w:rsid w:val="007B289C"/>
    <w:rsid w:val="007B52F0"/>
    <w:rsid w:val="007B7E3C"/>
    <w:rsid w:val="007E7EAF"/>
    <w:rsid w:val="007F0B79"/>
    <w:rsid w:val="007F0F9B"/>
    <w:rsid w:val="007F2644"/>
    <w:rsid w:val="007F6DD6"/>
    <w:rsid w:val="008000FE"/>
    <w:rsid w:val="008036DF"/>
    <w:rsid w:val="0081075B"/>
    <w:rsid w:val="00821995"/>
    <w:rsid w:val="00824A5C"/>
    <w:rsid w:val="00827365"/>
    <w:rsid w:val="00827474"/>
    <w:rsid w:val="008347CD"/>
    <w:rsid w:val="0083563B"/>
    <w:rsid w:val="00844A97"/>
    <w:rsid w:val="00851ABC"/>
    <w:rsid w:val="00856E8F"/>
    <w:rsid w:val="008718F4"/>
    <w:rsid w:val="008740A6"/>
    <w:rsid w:val="00890E69"/>
    <w:rsid w:val="00891A2F"/>
    <w:rsid w:val="0089696D"/>
    <w:rsid w:val="008A2140"/>
    <w:rsid w:val="008A2A0F"/>
    <w:rsid w:val="008B11E2"/>
    <w:rsid w:val="008B3130"/>
    <w:rsid w:val="008B6179"/>
    <w:rsid w:val="008E7979"/>
    <w:rsid w:val="008F1350"/>
    <w:rsid w:val="008F63CC"/>
    <w:rsid w:val="0091078C"/>
    <w:rsid w:val="0091097C"/>
    <w:rsid w:val="009128A9"/>
    <w:rsid w:val="009221E3"/>
    <w:rsid w:val="0093074D"/>
    <w:rsid w:val="0094107F"/>
    <w:rsid w:val="00943F0C"/>
    <w:rsid w:val="009544CB"/>
    <w:rsid w:val="00955C61"/>
    <w:rsid w:val="00957DC0"/>
    <w:rsid w:val="00974427"/>
    <w:rsid w:val="009836B9"/>
    <w:rsid w:val="009A5002"/>
    <w:rsid w:val="009B3254"/>
    <w:rsid w:val="009C2A05"/>
    <w:rsid w:val="009C5C31"/>
    <w:rsid w:val="009D2C2D"/>
    <w:rsid w:val="009D3347"/>
    <w:rsid w:val="009F28EB"/>
    <w:rsid w:val="009F2D69"/>
    <w:rsid w:val="009F40F4"/>
    <w:rsid w:val="009F7CED"/>
    <w:rsid w:val="00A1460C"/>
    <w:rsid w:val="00A207A1"/>
    <w:rsid w:val="00A26E41"/>
    <w:rsid w:val="00A55B78"/>
    <w:rsid w:val="00A65185"/>
    <w:rsid w:val="00A700AD"/>
    <w:rsid w:val="00A74FBA"/>
    <w:rsid w:val="00A75ACC"/>
    <w:rsid w:val="00A90248"/>
    <w:rsid w:val="00A902AD"/>
    <w:rsid w:val="00A908F0"/>
    <w:rsid w:val="00AA07F4"/>
    <w:rsid w:val="00AB3AC9"/>
    <w:rsid w:val="00AB637A"/>
    <w:rsid w:val="00AC1B93"/>
    <w:rsid w:val="00AC5C2A"/>
    <w:rsid w:val="00AD1E02"/>
    <w:rsid w:val="00AD37F7"/>
    <w:rsid w:val="00AD4AE5"/>
    <w:rsid w:val="00AD5164"/>
    <w:rsid w:val="00AE701E"/>
    <w:rsid w:val="00AF2835"/>
    <w:rsid w:val="00AF48B0"/>
    <w:rsid w:val="00AF640B"/>
    <w:rsid w:val="00B0641B"/>
    <w:rsid w:val="00B12A02"/>
    <w:rsid w:val="00B16989"/>
    <w:rsid w:val="00B25E0D"/>
    <w:rsid w:val="00B36B89"/>
    <w:rsid w:val="00B374DF"/>
    <w:rsid w:val="00B47A4D"/>
    <w:rsid w:val="00BA0EB9"/>
    <w:rsid w:val="00BB0E67"/>
    <w:rsid w:val="00BB2FD6"/>
    <w:rsid w:val="00BD07A2"/>
    <w:rsid w:val="00BD0AAA"/>
    <w:rsid w:val="00BE5655"/>
    <w:rsid w:val="00BF57D3"/>
    <w:rsid w:val="00C14326"/>
    <w:rsid w:val="00C22A60"/>
    <w:rsid w:val="00C35953"/>
    <w:rsid w:val="00C4530E"/>
    <w:rsid w:val="00C45B61"/>
    <w:rsid w:val="00C50017"/>
    <w:rsid w:val="00C60225"/>
    <w:rsid w:val="00C62236"/>
    <w:rsid w:val="00C71D46"/>
    <w:rsid w:val="00C746C9"/>
    <w:rsid w:val="00C815B5"/>
    <w:rsid w:val="00C85C6E"/>
    <w:rsid w:val="00CA010A"/>
    <w:rsid w:val="00CB1180"/>
    <w:rsid w:val="00CB560A"/>
    <w:rsid w:val="00CC4750"/>
    <w:rsid w:val="00CD0C40"/>
    <w:rsid w:val="00CD3A28"/>
    <w:rsid w:val="00CE2057"/>
    <w:rsid w:val="00CE4DD3"/>
    <w:rsid w:val="00CF029D"/>
    <w:rsid w:val="00CF4DA6"/>
    <w:rsid w:val="00D00425"/>
    <w:rsid w:val="00D202E1"/>
    <w:rsid w:val="00D23F1C"/>
    <w:rsid w:val="00D32205"/>
    <w:rsid w:val="00D44557"/>
    <w:rsid w:val="00D66EAB"/>
    <w:rsid w:val="00D760AF"/>
    <w:rsid w:val="00D76D20"/>
    <w:rsid w:val="00D84F3E"/>
    <w:rsid w:val="00D856AA"/>
    <w:rsid w:val="00D974E8"/>
    <w:rsid w:val="00DA34FA"/>
    <w:rsid w:val="00DB0BCE"/>
    <w:rsid w:val="00DB2927"/>
    <w:rsid w:val="00DB3039"/>
    <w:rsid w:val="00DB340F"/>
    <w:rsid w:val="00DB7E34"/>
    <w:rsid w:val="00DC025A"/>
    <w:rsid w:val="00DD7425"/>
    <w:rsid w:val="00DE3A3F"/>
    <w:rsid w:val="00DF24FD"/>
    <w:rsid w:val="00DF382B"/>
    <w:rsid w:val="00E25F5B"/>
    <w:rsid w:val="00E30CD5"/>
    <w:rsid w:val="00E33248"/>
    <w:rsid w:val="00E474A3"/>
    <w:rsid w:val="00E71C1E"/>
    <w:rsid w:val="00E8598C"/>
    <w:rsid w:val="00E86A7B"/>
    <w:rsid w:val="00E8789B"/>
    <w:rsid w:val="00EA1074"/>
    <w:rsid w:val="00EB1E05"/>
    <w:rsid w:val="00EB7E9F"/>
    <w:rsid w:val="00EC5E85"/>
    <w:rsid w:val="00ED0D1F"/>
    <w:rsid w:val="00ED6AC5"/>
    <w:rsid w:val="00EE2929"/>
    <w:rsid w:val="00EE381D"/>
    <w:rsid w:val="00EF3758"/>
    <w:rsid w:val="00EF4B66"/>
    <w:rsid w:val="00EF62A9"/>
    <w:rsid w:val="00F1159D"/>
    <w:rsid w:val="00F1215E"/>
    <w:rsid w:val="00F13481"/>
    <w:rsid w:val="00F34741"/>
    <w:rsid w:val="00F35390"/>
    <w:rsid w:val="00F53CBA"/>
    <w:rsid w:val="00F63FCC"/>
    <w:rsid w:val="00F65C5C"/>
    <w:rsid w:val="00F66292"/>
    <w:rsid w:val="00F663F3"/>
    <w:rsid w:val="00F731B6"/>
    <w:rsid w:val="00F838F9"/>
    <w:rsid w:val="00F87018"/>
    <w:rsid w:val="00F87440"/>
    <w:rsid w:val="00F91EA1"/>
    <w:rsid w:val="00F92386"/>
    <w:rsid w:val="00F92C95"/>
    <w:rsid w:val="00F94963"/>
    <w:rsid w:val="00F955C8"/>
    <w:rsid w:val="00FB3F25"/>
    <w:rsid w:val="00FC30F0"/>
    <w:rsid w:val="00FD14F0"/>
    <w:rsid w:val="00FD4D04"/>
    <w:rsid w:val="00FD58E5"/>
    <w:rsid w:val="00FE01FF"/>
    <w:rsid w:val="00FE0A81"/>
    <w:rsid w:val="00FF3BD5"/>
    <w:rsid w:val="00FF550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5:docId w15:val="{F0322D94-1731-4455-90E8-BD7BCCF63E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340F"/>
    <w:rPr>
      <w:sz w:val="24"/>
    </w:rPr>
  </w:style>
  <w:style w:type="paragraph" w:styleId="Heading1">
    <w:name w:val="heading 1"/>
    <w:basedOn w:val="Normal"/>
    <w:next w:val="Normal"/>
    <w:link w:val="Heading1Char"/>
    <w:qFormat/>
    <w:rsid w:val="00D84F3E"/>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semiHidden/>
    <w:unhideWhenUsed/>
    <w:qFormat/>
    <w:rsid w:val="00656414"/>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FF3BD5"/>
    <w:pPr>
      <w:keepNext/>
      <w:keepLines/>
      <w:spacing w:before="40"/>
      <w:outlineLvl w:val="2"/>
    </w:pPr>
    <w:rPr>
      <w:rFonts w:asciiTheme="majorHAnsi" w:eastAsiaTheme="majorEastAsia" w:hAnsiTheme="majorHAnsi" w:cstheme="majorBidi"/>
      <w:color w:val="243F60" w:themeColor="accent1" w:themeShade="7F"/>
      <w:szCs w:val="24"/>
    </w:rPr>
  </w:style>
  <w:style w:type="paragraph" w:styleId="Heading8">
    <w:name w:val="heading 8"/>
    <w:basedOn w:val="Normal"/>
    <w:next w:val="Normal"/>
    <w:qFormat/>
    <w:rsid w:val="005635B1"/>
    <w:pPr>
      <w:spacing w:before="240" w:after="60"/>
      <w:outlineLvl w:val="7"/>
    </w:pPr>
    <w:rPr>
      <w:i/>
      <w:iCs/>
      <w:szCs w:val="24"/>
    </w:rPr>
  </w:style>
  <w:style w:type="paragraph" w:styleId="Heading9">
    <w:name w:val="heading 9"/>
    <w:basedOn w:val="Normal"/>
    <w:next w:val="Normal"/>
    <w:qFormat/>
    <w:rsid w:val="005635B1"/>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autoRedefine/>
    <w:rsid w:val="00DB340F"/>
    <w:pPr>
      <w:tabs>
        <w:tab w:val="center" w:pos="4320"/>
        <w:tab w:val="right" w:pos="9923"/>
      </w:tabs>
    </w:pPr>
    <w:rPr>
      <w:color w:val="999999"/>
      <w:szCs w:val="24"/>
    </w:rPr>
  </w:style>
  <w:style w:type="paragraph" w:customStyle="1" w:styleId="Nervous1">
    <w:name w:val="Nervous 1"/>
    <w:basedOn w:val="Normal"/>
    <w:rsid w:val="00DB340F"/>
    <w:pPr>
      <w:shd w:val="pct25" w:color="000000" w:fill="FFFFFF"/>
      <w:spacing w:before="120" w:after="120"/>
      <w:jc w:val="center"/>
    </w:pPr>
    <w:rPr>
      <w:b/>
      <w:caps/>
      <w:sz w:val="32"/>
    </w:rPr>
  </w:style>
  <w:style w:type="paragraph" w:styleId="TOC1">
    <w:name w:val="toc 1"/>
    <w:basedOn w:val="Normal"/>
    <w:next w:val="Normal"/>
    <w:autoRedefine/>
    <w:uiPriority w:val="39"/>
    <w:rsid w:val="00DB340F"/>
    <w:rPr>
      <w:b/>
      <w:smallCaps/>
      <w:lang w:val="lt-LT"/>
    </w:rPr>
  </w:style>
  <w:style w:type="paragraph" w:styleId="TOC2">
    <w:name w:val="toc 2"/>
    <w:basedOn w:val="Normal"/>
    <w:next w:val="Normal"/>
    <w:autoRedefine/>
    <w:uiPriority w:val="39"/>
    <w:rsid w:val="00DB340F"/>
    <w:pPr>
      <w:ind w:left="200"/>
    </w:pPr>
    <w:rPr>
      <w:smallCaps/>
    </w:rPr>
  </w:style>
  <w:style w:type="paragraph" w:customStyle="1" w:styleId="Nervous2">
    <w:name w:val="Nervous 2"/>
    <w:basedOn w:val="Normal"/>
    <w:autoRedefine/>
    <w:rsid w:val="00DB340F"/>
    <w:rPr>
      <w:b/>
      <w:caps/>
      <w:color w:val="0000FF"/>
      <w:sz w:val="28"/>
    </w:rPr>
  </w:style>
  <w:style w:type="paragraph" w:customStyle="1" w:styleId="Antrat">
    <w:name w:val="Antraštė"/>
    <w:basedOn w:val="Normal"/>
    <w:rsid w:val="00DB340F"/>
    <w:pPr>
      <w:spacing w:before="240" w:after="240"/>
      <w:jc w:val="center"/>
    </w:pPr>
    <w:rPr>
      <w:b/>
      <w:caps/>
      <w:sz w:val="40"/>
      <w:u w:val="single" w:color="FF0000"/>
    </w:rPr>
  </w:style>
  <w:style w:type="paragraph" w:customStyle="1" w:styleId="Nervous3">
    <w:name w:val="Nervous 3"/>
    <w:basedOn w:val="Normal"/>
    <w:rsid w:val="00DB340F"/>
    <w:rPr>
      <w:b/>
      <w:caps/>
      <w:sz w:val="28"/>
      <w:u w:val="double"/>
    </w:rPr>
  </w:style>
  <w:style w:type="character" w:styleId="Hyperlink">
    <w:name w:val="Hyperlink"/>
    <w:uiPriority w:val="99"/>
    <w:rsid w:val="00DB340F"/>
    <w:rPr>
      <w:color w:val="999999"/>
      <w:u w:val="none"/>
    </w:rPr>
  </w:style>
  <w:style w:type="paragraph" w:customStyle="1" w:styleId="Nervous4">
    <w:name w:val="Nervous 4"/>
    <w:basedOn w:val="Normal"/>
    <w:rsid w:val="00DB340F"/>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DB340F"/>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link w:val="TitleChar"/>
    <w:qFormat/>
    <w:rsid w:val="00DB340F"/>
    <w:pPr>
      <w:spacing w:before="240"/>
      <w:jc w:val="center"/>
    </w:pPr>
    <w:rPr>
      <w:b/>
      <w:bCs/>
      <w:i/>
      <w:iCs/>
      <w:sz w:val="44"/>
    </w:rPr>
  </w:style>
  <w:style w:type="paragraph" w:customStyle="1" w:styleId="Drugname">
    <w:name w:val="Drug name"/>
    <w:basedOn w:val="NormalWeb"/>
    <w:autoRedefine/>
    <w:rsid w:val="00DB340F"/>
    <w:rPr>
      <w:b/>
      <w:bCs/>
      <w:caps/>
      <w:shadow/>
      <w:color w:val="FF0000"/>
      <w:lang w:val="en-GB"/>
    </w:rPr>
  </w:style>
  <w:style w:type="paragraph" w:customStyle="1" w:styleId="Nervous7">
    <w:name w:val="Nervous 7"/>
    <w:basedOn w:val="Normal"/>
    <w:rsid w:val="00DB340F"/>
    <w:pPr>
      <w:shd w:val="clear" w:color="auto" w:fill="FFFF00"/>
    </w:pPr>
    <w:rPr>
      <w:b/>
      <w:bCs/>
      <w:smallCaps/>
    </w:rPr>
  </w:style>
  <w:style w:type="paragraph" w:customStyle="1" w:styleId="Drugname2">
    <w:name w:val="Drug name 2"/>
    <w:basedOn w:val="Drugname"/>
    <w:link w:val="Drugname2Char"/>
    <w:autoRedefine/>
    <w:qFormat/>
    <w:rsid w:val="00DB340F"/>
    <w:rPr>
      <w:b w:val="0"/>
      <w:caps w:val="0"/>
      <w:smallCaps/>
    </w:rPr>
  </w:style>
  <w:style w:type="character" w:styleId="FollowedHyperlink">
    <w:name w:val="FollowedHyperlink"/>
    <w:rsid w:val="00DB340F"/>
    <w:rPr>
      <w:color w:val="999999"/>
      <w:u w:val="none"/>
    </w:rPr>
  </w:style>
  <w:style w:type="paragraph" w:customStyle="1" w:styleId="Nervous6">
    <w:name w:val="Nervous 6"/>
    <w:basedOn w:val="Normal"/>
    <w:rsid w:val="00DB340F"/>
    <w:pPr>
      <w:shd w:val="clear" w:color="auto" w:fill="000000"/>
      <w:spacing w:before="120" w:after="60"/>
      <w:ind w:right="7796"/>
      <w:jc w:val="center"/>
    </w:pPr>
    <w:rPr>
      <w:b/>
      <w:bCs/>
      <w:smallCaps/>
      <w:color w:val="CCFFCC"/>
    </w:rPr>
  </w:style>
  <w:style w:type="paragraph" w:customStyle="1" w:styleId="Nervous9">
    <w:name w:val="Nervous 9"/>
    <w:link w:val="Nervous9Char"/>
    <w:rsid w:val="00DB340F"/>
    <w:rPr>
      <w:sz w:val="24"/>
      <w:szCs w:val="24"/>
      <w:u w:val="double" w:color="FF0000"/>
    </w:rPr>
  </w:style>
  <w:style w:type="paragraph" w:styleId="TOC4">
    <w:name w:val="toc 4"/>
    <w:basedOn w:val="Normal"/>
    <w:next w:val="Normal"/>
    <w:autoRedefine/>
    <w:rsid w:val="00DB340F"/>
    <w:pPr>
      <w:tabs>
        <w:tab w:val="right" w:leader="dot" w:pos="9912"/>
      </w:tabs>
      <w:spacing w:line="240" w:lineRule="atLeast"/>
      <w:ind w:left="1134"/>
    </w:pPr>
  </w:style>
  <w:style w:type="paragraph" w:customStyle="1" w:styleId="Nervous8">
    <w:name w:val="Nervous 8"/>
    <w:basedOn w:val="Normal"/>
    <w:rsid w:val="00DB340F"/>
    <w:rPr>
      <w:i/>
      <w:smallCaps/>
      <w:color w:val="999999"/>
      <w:szCs w:val="24"/>
    </w:rPr>
  </w:style>
  <w:style w:type="paragraph" w:styleId="Footer">
    <w:name w:val="footer"/>
    <w:basedOn w:val="Normal"/>
    <w:link w:val="FooterChar"/>
    <w:rsid w:val="00DB340F"/>
    <w:pPr>
      <w:tabs>
        <w:tab w:val="center" w:pos="4320"/>
        <w:tab w:val="right" w:pos="8640"/>
      </w:tabs>
    </w:pPr>
  </w:style>
  <w:style w:type="paragraph" w:styleId="NormalWeb">
    <w:name w:val="Normal (Web)"/>
    <w:basedOn w:val="Normal"/>
    <w:uiPriority w:val="99"/>
    <w:unhideWhenUsed/>
    <w:rsid w:val="00DB340F"/>
    <w:rPr>
      <w:szCs w:val="24"/>
    </w:rPr>
  </w:style>
  <w:style w:type="paragraph" w:styleId="BalloonText">
    <w:name w:val="Balloon Text"/>
    <w:basedOn w:val="Normal"/>
    <w:link w:val="BalloonTextChar"/>
    <w:rsid w:val="00DB340F"/>
    <w:rPr>
      <w:rFonts w:ascii="Tahoma" w:hAnsi="Tahoma" w:cs="Tahoma"/>
      <w:sz w:val="16"/>
      <w:szCs w:val="16"/>
    </w:rPr>
  </w:style>
  <w:style w:type="character" w:customStyle="1" w:styleId="BalloonTextChar">
    <w:name w:val="Balloon Text Char"/>
    <w:link w:val="BalloonText"/>
    <w:rsid w:val="00DB340F"/>
    <w:rPr>
      <w:rFonts w:ascii="Tahoma" w:hAnsi="Tahoma" w:cs="Tahoma"/>
      <w:sz w:val="16"/>
      <w:szCs w:val="16"/>
    </w:rPr>
  </w:style>
  <w:style w:type="character" w:customStyle="1" w:styleId="emphi">
    <w:name w:val="emph_i"/>
    <w:basedOn w:val="DefaultParagraphFont"/>
    <w:rsid w:val="00EE381D"/>
  </w:style>
  <w:style w:type="paragraph" w:styleId="ListParagraph">
    <w:name w:val="List Paragraph"/>
    <w:basedOn w:val="Normal"/>
    <w:uiPriority w:val="34"/>
    <w:qFormat/>
    <w:rsid w:val="00DB340F"/>
    <w:pPr>
      <w:ind w:left="720"/>
    </w:pPr>
  </w:style>
  <w:style w:type="character" w:customStyle="1" w:styleId="emphb">
    <w:name w:val="emph_b"/>
    <w:basedOn w:val="DefaultParagraphFont"/>
    <w:rsid w:val="000910FB"/>
  </w:style>
  <w:style w:type="character" w:customStyle="1" w:styleId="apple-converted-space">
    <w:name w:val="apple-converted-space"/>
    <w:basedOn w:val="DefaultParagraphFont"/>
    <w:rsid w:val="003755D2"/>
  </w:style>
  <w:style w:type="character" w:customStyle="1" w:styleId="Heading2Char">
    <w:name w:val="Heading 2 Char"/>
    <w:basedOn w:val="DefaultParagraphFont"/>
    <w:link w:val="Heading2"/>
    <w:semiHidden/>
    <w:rsid w:val="00656414"/>
    <w:rPr>
      <w:rFonts w:asciiTheme="majorHAnsi" w:eastAsiaTheme="majorEastAsia" w:hAnsiTheme="majorHAnsi" w:cstheme="majorBidi"/>
      <w:color w:val="365F91" w:themeColor="accent1" w:themeShade="BF"/>
      <w:sz w:val="26"/>
      <w:szCs w:val="26"/>
    </w:rPr>
  </w:style>
  <w:style w:type="character" w:customStyle="1" w:styleId="mw-headline">
    <w:name w:val="mw-headline"/>
    <w:basedOn w:val="DefaultParagraphFont"/>
    <w:rsid w:val="00656414"/>
  </w:style>
  <w:style w:type="character" w:customStyle="1" w:styleId="mw-editsection">
    <w:name w:val="mw-editsection"/>
    <w:basedOn w:val="DefaultParagraphFont"/>
    <w:rsid w:val="00656414"/>
  </w:style>
  <w:style w:type="character" w:customStyle="1" w:styleId="mw-editsection-bracket">
    <w:name w:val="mw-editsection-bracket"/>
    <w:basedOn w:val="DefaultParagraphFont"/>
    <w:rsid w:val="00656414"/>
  </w:style>
  <w:style w:type="character" w:customStyle="1" w:styleId="Heading1Char">
    <w:name w:val="Heading 1 Char"/>
    <w:basedOn w:val="DefaultParagraphFont"/>
    <w:link w:val="Heading1"/>
    <w:rsid w:val="00D84F3E"/>
    <w:rPr>
      <w:rFonts w:asciiTheme="majorHAnsi" w:eastAsiaTheme="majorEastAsia" w:hAnsiTheme="majorHAnsi" w:cstheme="majorBidi"/>
      <w:color w:val="365F91" w:themeColor="accent1" w:themeShade="BF"/>
      <w:sz w:val="32"/>
      <w:szCs w:val="32"/>
    </w:rPr>
  </w:style>
  <w:style w:type="character" w:customStyle="1" w:styleId="addmd">
    <w:name w:val="addmd"/>
    <w:basedOn w:val="DefaultParagraphFont"/>
    <w:rsid w:val="00D84F3E"/>
  </w:style>
  <w:style w:type="paragraph" w:customStyle="1" w:styleId="Articlename">
    <w:name w:val="Article name"/>
    <w:basedOn w:val="Normal"/>
    <w:autoRedefine/>
    <w:qFormat/>
    <w:rsid w:val="004D0098"/>
    <w:pPr>
      <w:tabs>
        <w:tab w:val="left" w:pos="2430"/>
      </w:tabs>
    </w:pPr>
    <w:rPr>
      <w:i/>
      <w:sz w:val="20"/>
    </w:rPr>
  </w:style>
  <w:style w:type="character" w:customStyle="1" w:styleId="Blue">
    <w:name w:val="Blue"/>
    <w:uiPriority w:val="1"/>
    <w:rsid w:val="00DB340F"/>
    <w:rPr>
      <w:color w:val="0000FF"/>
    </w:rPr>
  </w:style>
  <w:style w:type="paragraph" w:customStyle="1" w:styleId="Default">
    <w:name w:val="Default"/>
    <w:rsid w:val="00DB340F"/>
    <w:pPr>
      <w:widowControl w:val="0"/>
      <w:autoSpaceDE w:val="0"/>
      <w:autoSpaceDN w:val="0"/>
      <w:adjustRightInd w:val="0"/>
    </w:pPr>
    <w:rPr>
      <w:rFonts w:ascii="Arial" w:hAnsi="Arial" w:cs="Arial"/>
      <w:color w:val="000000"/>
      <w:sz w:val="24"/>
      <w:szCs w:val="24"/>
    </w:rPr>
  </w:style>
  <w:style w:type="character" w:customStyle="1" w:styleId="Drugname2Char">
    <w:name w:val="Drug name 2 Char"/>
    <w:link w:val="Drugname2"/>
    <w:rsid w:val="00DB340F"/>
    <w:rPr>
      <w:bCs/>
      <w:smallCaps/>
      <w:shadow/>
      <w:color w:val="FF0000"/>
      <w:sz w:val="24"/>
      <w:szCs w:val="24"/>
      <w:lang w:val="en-GB"/>
    </w:rPr>
  </w:style>
  <w:style w:type="character" w:customStyle="1" w:styleId="Eponym">
    <w:name w:val="Eponym"/>
    <w:qFormat/>
    <w:rsid w:val="00DB340F"/>
    <w:rPr>
      <w:b/>
      <w:shadow/>
      <w:color w:val="00B050"/>
    </w:rPr>
  </w:style>
  <w:style w:type="character" w:customStyle="1" w:styleId="FooterChar">
    <w:name w:val="Footer Char"/>
    <w:basedOn w:val="DefaultParagraphFont"/>
    <w:link w:val="Footer"/>
    <w:rsid w:val="00DB340F"/>
    <w:rPr>
      <w:sz w:val="24"/>
    </w:rPr>
  </w:style>
  <w:style w:type="paragraph" w:customStyle="1" w:styleId="H1">
    <w:name w:val="H1"/>
    <w:basedOn w:val="Normal"/>
    <w:next w:val="Normal"/>
    <w:uiPriority w:val="99"/>
    <w:rsid w:val="00DB340F"/>
    <w:pPr>
      <w:keepNext/>
      <w:autoSpaceDE w:val="0"/>
      <w:autoSpaceDN w:val="0"/>
      <w:adjustRightInd w:val="0"/>
      <w:spacing w:before="100" w:after="100"/>
      <w:outlineLvl w:val="1"/>
    </w:pPr>
    <w:rPr>
      <w:b/>
      <w:bCs/>
      <w:kern w:val="36"/>
      <w:sz w:val="48"/>
      <w:szCs w:val="48"/>
    </w:rPr>
  </w:style>
  <w:style w:type="character" w:customStyle="1" w:styleId="HeaderChar">
    <w:name w:val="Header Char"/>
    <w:basedOn w:val="DefaultParagraphFont"/>
    <w:link w:val="Header"/>
    <w:rsid w:val="00DB340F"/>
    <w:rPr>
      <w:color w:val="999999"/>
      <w:sz w:val="24"/>
      <w:szCs w:val="24"/>
    </w:rPr>
  </w:style>
  <w:style w:type="character" w:customStyle="1" w:styleId="Nervous9Char">
    <w:name w:val="Nervous 9 Char"/>
    <w:basedOn w:val="DefaultParagraphFont"/>
    <w:link w:val="Nervous9"/>
    <w:rsid w:val="00DB340F"/>
    <w:rPr>
      <w:sz w:val="24"/>
      <w:szCs w:val="24"/>
      <w:u w:val="double" w:color="FF0000"/>
    </w:rPr>
  </w:style>
  <w:style w:type="character" w:styleId="PageNumber">
    <w:name w:val="page number"/>
    <w:basedOn w:val="DefaultParagraphFont"/>
    <w:rsid w:val="00DB340F"/>
  </w:style>
  <w:style w:type="character" w:customStyle="1" w:styleId="Red">
    <w:name w:val="Red"/>
    <w:uiPriority w:val="1"/>
    <w:rsid w:val="00DB340F"/>
    <w:rPr>
      <w:color w:val="FF0000"/>
    </w:rPr>
  </w:style>
  <w:style w:type="paragraph" w:customStyle="1" w:styleId="Sourceofpicture">
    <w:name w:val="Source of picture"/>
    <w:qFormat/>
    <w:rsid w:val="00DB340F"/>
    <w:rPr>
      <w:color w:val="999999"/>
      <w:sz w:val="18"/>
      <w:szCs w:val="18"/>
    </w:rPr>
  </w:style>
  <w:style w:type="table" w:styleId="TableGrid">
    <w:name w:val="Table Grid"/>
    <w:basedOn w:val="TableNormal"/>
    <w:rsid w:val="00DB34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basedOn w:val="DefaultParagraphFont"/>
    <w:rsid w:val="00DB340F"/>
  </w:style>
  <w:style w:type="character" w:customStyle="1" w:styleId="TitleChar">
    <w:name w:val="Title Char"/>
    <w:basedOn w:val="DefaultParagraphFont"/>
    <w:link w:val="Title"/>
    <w:rsid w:val="00DB340F"/>
    <w:rPr>
      <w:b/>
      <w:bCs/>
      <w:i/>
      <w:iCs/>
      <w:sz w:val="44"/>
    </w:rPr>
  </w:style>
  <w:style w:type="paragraph" w:styleId="TOC3">
    <w:name w:val="toc 3"/>
    <w:basedOn w:val="Normal"/>
    <w:next w:val="Normal"/>
    <w:autoRedefine/>
    <w:uiPriority w:val="39"/>
    <w:rsid w:val="00DB340F"/>
    <w:pPr>
      <w:ind w:left="480"/>
    </w:pPr>
  </w:style>
  <w:style w:type="paragraph" w:styleId="TOC5">
    <w:name w:val="toc 5"/>
    <w:basedOn w:val="Normal"/>
    <w:next w:val="Normal"/>
    <w:autoRedefine/>
    <w:semiHidden/>
    <w:rsid w:val="00DB340F"/>
    <w:pPr>
      <w:ind w:left="960"/>
    </w:pPr>
  </w:style>
  <w:style w:type="paragraph" w:styleId="TOC6">
    <w:name w:val="toc 6"/>
    <w:basedOn w:val="Normal"/>
    <w:next w:val="Normal"/>
    <w:autoRedefine/>
    <w:semiHidden/>
    <w:rsid w:val="00DB340F"/>
    <w:pPr>
      <w:ind w:left="1200"/>
    </w:pPr>
  </w:style>
  <w:style w:type="paragraph" w:styleId="TOC7">
    <w:name w:val="toc 7"/>
    <w:basedOn w:val="Normal"/>
    <w:next w:val="Normal"/>
    <w:autoRedefine/>
    <w:semiHidden/>
    <w:rsid w:val="00DB340F"/>
    <w:pPr>
      <w:ind w:left="1440"/>
    </w:pPr>
  </w:style>
  <w:style w:type="paragraph" w:styleId="TOC8">
    <w:name w:val="toc 8"/>
    <w:basedOn w:val="Normal"/>
    <w:next w:val="Normal"/>
    <w:autoRedefine/>
    <w:semiHidden/>
    <w:rsid w:val="00DB340F"/>
    <w:pPr>
      <w:ind w:left="1680"/>
    </w:pPr>
  </w:style>
  <w:style w:type="paragraph" w:styleId="TOC9">
    <w:name w:val="toc 9"/>
    <w:basedOn w:val="Normal"/>
    <w:next w:val="Normal"/>
    <w:autoRedefine/>
    <w:semiHidden/>
    <w:rsid w:val="00DB340F"/>
    <w:pPr>
      <w:ind w:left="1920"/>
    </w:pPr>
  </w:style>
  <w:style w:type="character" w:customStyle="1" w:styleId="Trialname">
    <w:name w:val="Trial name"/>
    <w:qFormat/>
    <w:rsid w:val="00DB340F"/>
    <w:rPr>
      <w:b/>
      <w:shadow/>
      <w:color w:val="0099CC"/>
    </w:rPr>
  </w:style>
  <w:style w:type="character" w:customStyle="1" w:styleId="Heading3Char">
    <w:name w:val="Heading 3 Char"/>
    <w:basedOn w:val="DefaultParagraphFont"/>
    <w:link w:val="Heading3"/>
    <w:semiHidden/>
    <w:rsid w:val="00FF3BD5"/>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8341029">
      <w:bodyDiv w:val="1"/>
      <w:marLeft w:val="0"/>
      <w:marRight w:val="0"/>
      <w:marTop w:val="0"/>
      <w:marBottom w:val="0"/>
      <w:divBdr>
        <w:top w:val="none" w:sz="0" w:space="0" w:color="auto"/>
        <w:left w:val="none" w:sz="0" w:space="0" w:color="auto"/>
        <w:bottom w:val="none" w:sz="0" w:space="0" w:color="auto"/>
        <w:right w:val="none" w:sz="0" w:space="0" w:color="auto"/>
      </w:divBdr>
      <w:divsChild>
        <w:div w:id="91704766">
          <w:marLeft w:val="0"/>
          <w:marRight w:val="0"/>
          <w:marTop w:val="0"/>
          <w:marBottom w:val="0"/>
          <w:divBdr>
            <w:top w:val="none" w:sz="0" w:space="0" w:color="auto"/>
            <w:left w:val="none" w:sz="0" w:space="0" w:color="auto"/>
            <w:bottom w:val="none" w:sz="0" w:space="0" w:color="auto"/>
            <w:right w:val="none" w:sz="0" w:space="0" w:color="auto"/>
          </w:divBdr>
          <w:divsChild>
            <w:div w:id="617295668">
              <w:marLeft w:val="0"/>
              <w:marRight w:val="0"/>
              <w:marTop w:val="0"/>
              <w:marBottom w:val="0"/>
              <w:divBdr>
                <w:top w:val="none" w:sz="0" w:space="0" w:color="auto"/>
                <w:left w:val="none" w:sz="0" w:space="0" w:color="auto"/>
                <w:bottom w:val="none" w:sz="0" w:space="0" w:color="auto"/>
                <w:right w:val="none" w:sz="0" w:space="0" w:color="auto"/>
              </w:divBdr>
              <w:divsChild>
                <w:div w:id="810706375">
                  <w:marLeft w:val="0"/>
                  <w:marRight w:val="0"/>
                  <w:marTop w:val="0"/>
                  <w:marBottom w:val="0"/>
                  <w:divBdr>
                    <w:top w:val="none" w:sz="0" w:space="0" w:color="auto"/>
                    <w:left w:val="none" w:sz="0" w:space="0" w:color="auto"/>
                    <w:bottom w:val="none" w:sz="0" w:space="0" w:color="auto"/>
                    <w:right w:val="none" w:sz="0" w:space="0" w:color="auto"/>
                  </w:divBdr>
                  <w:divsChild>
                    <w:div w:id="1577084900">
                      <w:marLeft w:val="0"/>
                      <w:marRight w:val="0"/>
                      <w:marTop w:val="0"/>
                      <w:marBottom w:val="0"/>
                      <w:divBdr>
                        <w:top w:val="none" w:sz="0" w:space="0" w:color="auto"/>
                        <w:left w:val="none" w:sz="0" w:space="0" w:color="auto"/>
                        <w:bottom w:val="none" w:sz="0" w:space="0" w:color="auto"/>
                        <w:right w:val="none" w:sz="0" w:space="0" w:color="auto"/>
                      </w:divBdr>
                      <w:divsChild>
                        <w:div w:id="89350754">
                          <w:marLeft w:val="0"/>
                          <w:marRight w:val="0"/>
                          <w:marTop w:val="0"/>
                          <w:marBottom w:val="0"/>
                          <w:divBdr>
                            <w:top w:val="none" w:sz="0" w:space="0" w:color="auto"/>
                            <w:left w:val="none" w:sz="0" w:space="0" w:color="auto"/>
                            <w:bottom w:val="none" w:sz="0" w:space="0" w:color="auto"/>
                            <w:right w:val="none" w:sz="0" w:space="0" w:color="auto"/>
                          </w:divBdr>
                          <w:divsChild>
                            <w:div w:id="1892881089">
                              <w:marLeft w:val="0"/>
                              <w:marRight w:val="0"/>
                              <w:marTop w:val="0"/>
                              <w:marBottom w:val="0"/>
                              <w:divBdr>
                                <w:top w:val="none" w:sz="0" w:space="0" w:color="auto"/>
                                <w:left w:val="none" w:sz="0" w:space="0" w:color="auto"/>
                                <w:bottom w:val="none" w:sz="0" w:space="0" w:color="auto"/>
                                <w:right w:val="none" w:sz="0" w:space="0" w:color="auto"/>
                              </w:divBdr>
                              <w:divsChild>
                                <w:div w:id="18288901">
                                  <w:marLeft w:val="0"/>
                                  <w:marRight w:val="0"/>
                                  <w:marTop w:val="0"/>
                                  <w:marBottom w:val="0"/>
                                  <w:divBdr>
                                    <w:top w:val="none" w:sz="0" w:space="0" w:color="auto"/>
                                    <w:left w:val="none" w:sz="0" w:space="0" w:color="auto"/>
                                    <w:bottom w:val="none" w:sz="0" w:space="0" w:color="auto"/>
                                    <w:right w:val="none" w:sz="0" w:space="0" w:color="auto"/>
                                  </w:divBdr>
                                  <w:divsChild>
                                    <w:div w:id="969360728">
                                      <w:marLeft w:val="0"/>
                                      <w:marRight w:val="0"/>
                                      <w:marTop w:val="0"/>
                                      <w:marBottom w:val="0"/>
                                      <w:divBdr>
                                        <w:top w:val="none" w:sz="0" w:space="0" w:color="auto"/>
                                        <w:left w:val="none" w:sz="0" w:space="0" w:color="auto"/>
                                        <w:bottom w:val="none" w:sz="0" w:space="0" w:color="auto"/>
                                        <w:right w:val="none" w:sz="0" w:space="0" w:color="auto"/>
                                      </w:divBdr>
                                    </w:div>
                                    <w:div w:id="165940735">
                                      <w:marLeft w:val="0"/>
                                      <w:marRight w:val="0"/>
                                      <w:marTop w:val="0"/>
                                      <w:marBottom w:val="0"/>
                                      <w:divBdr>
                                        <w:top w:val="none" w:sz="0" w:space="0" w:color="auto"/>
                                        <w:left w:val="none" w:sz="0" w:space="0" w:color="auto"/>
                                        <w:bottom w:val="none" w:sz="0" w:space="0" w:color="auto"/>
                                        <w:right w:val="none" w:sz="0" w:space="0" w:color="auto"/>
                                      </w:divBdr>
                                      <w:divsChild>
                                        <w:div w:id="1444610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469292">
                                  <w:marLeft w:val="0"/>
                                  <w:marRight w:val="0"/>
                                  <w:marTop w:val="0"/>
                                  <w:marBottom w:val="0"/>
                                  <w:divBdr>
                                    <w:top w:val="none" w:sz="0" w:space="0" w:color="auto"/>
                                    <w:left w:val="none" w:sz="0" w:space="0" w:color="auto"/>
                                    <w:bottom w:val="none" w:sz="0" w:space="0" w:color="auto"/>
                                    <w:right w:val="none" w:sz="0" w:space="0" w:color="auto"/>
                                  </w:divBdr>
                                  <w:divsChild>
                                    <w:div w:id="1739982589">
                                      <w:marLeft w:val="0"/>
                                      <w:marRight w:val="0"/>
                                      <w:marTop w:val="0"/>
                                      <w:marBottom w:val="0"/>
                                      <w:divBdr>
                                        <w:top w:val="none" w:sz="0" w:space="0" w:color="auto"/>
                                        <w:left w:val="none" w:sz="0" w:space="0" w:color="auto"/>
                                        <w:bottom w:val="none" w:sz="0" w:space="0" w:color="auto"/>
                                        <w:right w:val="none" w:sz="0" w:space="0" w:color="auto"/>
                                      </w:divBdr>
                                    </w:div>
                                    <w:div w:id="523710723">
                                      <w:marLeft w:val="0"/>
                                      <w:marRight w:val="0"/>
                                      <w:marTop w:val="0"/>
                                      <w:marBottom w:val="0"/>
                                      <w:divBdr>
                                        <w:top w:val="none" w:sz="0" w:space="0" w:color="auto"/>
                                        <w:left w:val="none" w:sz="0" w:space="0" w:color="auto"/>
                                        <w:bottom w:val="none" w:sz="0" w:space="0" w:color="auto"/>
                                        <w:right w:val="none" w:sz="0" w:space="0" w:color="auto"/>
                                      </w:divBdr>
                                      <w:divsChild>
                                        <w:div w:id="35134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804014">
                                  <w:marLeft w:val="0"/>
                                  <w:marRight w:val="0"/>
                                  <w:marTop w:val="0"/>
                                  <w:marBottom w:val="0"/>
                                  <w:divBdr>
                                    <w:top w:val="none" w:sz="0" w:space="0" w:color="auto"/>
                                    <w:left w:val="none" w:sz="0" w:space="0" w:color="auto"/>
                                    <w:bottom w:val="none" w:sz="0" w:space="0" w:color="auto"/>
                                    <w:right w:val="none" w:sz="0" w:space="0" w:color="auto"/>
                                  </w:divBdr>
                                  <w:divsChild>
                                    <w:div w:id="1132820095">
                                      <w:marLeft w:val="0"/>
                                      <w:marRight w:val="0"/>
                                      <w:marTop w:val="0"/>
                                      <w:marBottom w:val="0"/>
                                      <w:divBdr>
                                        <w:top w:val="none" w:sz="0" w:space="0" w:color="auto"/>
                                        <w:left w:val="none" w:sz="0" w:space="0" w:color="auto"/>
                                        <w:bottom w:val="none" w:sz="0" w:space="0" w:color="auto"/>
                                        <w:right w:val="none" w:sz="0" w:space="0" w:color="auto"/>
                                      </w:divBdr>
                                    </w:div>
                                    <w:div w:id="2138644702">
                                      <w:marLeft w:val="0"/>
                                      <w:marRight w:val="0"/>
                                      <w:marTop w:val="0"/>
                                      <w:marBottom w:val="0"/>
                                      <w:divBdr>
                                        <w:top w:val="none" w:sz="0" w:space="0" w:color="auto"/>
                                        <w:left w:val="none" w:sz="0" w:space="0" w:color="auto"/>
                                        <w:bottom w:val="none" w:sz="0" w:space="0" w:color="auto"/>
                                        <w:right w:val="none" w:sz="0" w:space="0" w:color="auto"/>
                                      </w:divBdr>
                                      <w:divsChild>
                                        <w:div w:id="15056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238099">
                                  <w:marLeft w:val="0"/>
                                  <w:marRight w:val="0"/>
                                  <w:marTop w:val="0"/>
                                  <w:marBottom w:val="0"/>
                                  <w:divBdr>
                                    <w:top w:val="none" w:sz="0" w:space="0" w:color="auto"/>
                                    <w:left w:val="none" w:sz="0" w:space="0" w:color="auto"/>
                                    <w:bottom w:val="none" w:sz="0" w:space="0" w:color="auto"/>
                                    <w:right w:val="none" w:sz="0" w:space="0" w:color="auto"/>
                                  </w:divBdr>
                                  <w:divsChild>
                                    <w:div w:id="4749819">
                                      <w:marLeft w:val="0"/>
                                      <w:marRight w:val="0"/>
                                      <w:marTop w:val="0"/>
                                      <w:marBottom w:val="0"/>
                                      <w:divBdr>
                                        <w:top w:val="none" w:sz="0" w:space="0" w:color="auto"/>
                                        <w:left w:val="none" w:sz="0" w:space="0" w:color="auto"/>
                                        <w:bottom w:val="none" w:sz="0" w:space="0" w:color="auto"/>
                                        <w:right w:val="none" w:sz="0" w:space="0" w:color="auto"/>
                                      </w:divBdr>
                                    </w:div>
                                    <w:div w:id="1657803710">
                                      <w:marLeft w:val="0"/>
                                      <w:marRight w:val="0"/>
                                      <w:marTop w:val="0"/>
                                      <w:marBottom w:val="0"/>
                                      <w:divBdr>
                                        <w:top w:val="none" w:sz="0" w:space="0" w:color="auto"/>
                                        <w:left w:val="none" w:sz="0" w:space="0" w:color="auto"/>
                                        <w:bottom w:val="none" w:sz="0" w:space="0" w:color="auto"/>
                                        <w:right w:val="none" w:sz="0" w:space="0" w:color="auto"/>
                                      </w:divBdr>
                                      <w:divsChild>
                                        <w:div w:id="1176531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930834">
                                  <w:marLeft w:val="0"/>
                                  <w:marRight w:val="0"/>
                                  <w:marTop w:val="0"/>
                                  <w:marBottom w:val="0"/>
                                  <w:divBdr>
                                    <w:top w:val="none" w:sz="0" w:space="0" w:color="auto"/>
                                    <w:left w:val="none" w:sz="0" w:space="0" w:color="auto"/>
                                    <w:bottom w:val="none" w:sz="0" w:space="0" w:color="auto"/>
                                    <w:right w:val="none" w:sz="0" w:space="0" w:color="auto"/>
                                  </w:divBdr>
                                  <w:divsChild>
                                    <w:div w:id="1106925582">
                                      <w:marLeft w:val="0"/>
                                      <w:marRight w:val="0"/>
                                      <w:marTop w:val="0"/>
                                      <w:marBottom w:val="0"/>
                                      <w:divBdr>
                                        <w:top w:val="none" w:sz="0" w:space="0" w:color="auto"/>
                                        <w:left w:val="none" w:sz="0" w:space="0" w:color="auto"/>
                                        <w:bottom w:val="none" w:sz="0" w:space="0" w:color="auto"/>
                                        <w:right w:val="none" w:sz="0" w:space="0" w:color="auto"/>
                                      </w:divBdr>
                                    </w:div>
                                    <w:div w:id="1625187461">
                                      <w:marLeft w:val="0"/>
                                      <w:marRight w:val="0"/>
                                      <w:marTop w:val="0"/>
                                      <w:marBottom w:val="0"/>
                                      <w:divBdr>
                                        <w:top w:val="none" w:sz="0" w:space="0" w:color="auto"/>
                                        <w:left w:val="none" w:sz="0" w:space="0" w:color="auto"/>
                                        <w:bottom w:val="none" w:sz="0" w:space="0" w:color="auto"/>
                                        <w:right w:val="none" w:sz="0" w:space="0" w:color="auto"/>
                                      </w:divBdr>
                                      <w:divsChild>
                                        <w:div w:id="80393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2051624">
                                  <w:marLeft w:val="0"/>
                                  <w:marRight w:val="0"/>
                                  <w:marTop w:val="0"/>
                                  <w:marBottom w:val="0"/>
                                  <w:divBdr>
                                    <w:top w:val="none" w:sz="0" w:space="0" w:color="auto"/>
                                    <w:left w:val="none" w:sz="0" w:space="0" w:color="auto"/>
                                    <w:bottom w:val="none" w:sz="0" w:space="0" w:color="auto"/>
                                    <w:right w:val="none" w:sz="0" w:space="0" w:color="auto"/>
                                  </w:divBdr>
                                  <w:divsChild>
                                    <w:div w:id="1970745108">
                                      <w:marLeft w:val="0"/>
                                      <w:marRight w:val="0"/>
                                      <w:marTop w:val="0"/>
                                      <w:marBottom w:val="0"/>
                                      <w:divBdr>
                                        <w:top w:val="none" w:sz="0" w:space="0" w:color="auto"/>
                                        <w:left w:val="none" w:sz="0" w:space="0" w:color="auto"/>
                                        <w:bottom w:val="none" w:sz="0" w:space="0" w:color="auto"/>
                                        <w:right w:val="none" w:sz="0" w:space="0" w:color="auto"/>
                                      </w:divBdr>
                                    </w:div>
                                    <w:div w:id="1488013279">
                                      <w:marLeft w:val="0"/>
                                      <w:marRight w:val="0"/>
                                      <w:marTop w:val="0"/>
                                      <w:marBottom w:val="0"/>
                                      <w:divBdr>
                                        <w:top w:val="none" w:sz="0" w:space="0" w:color="auto"/>
                                        <w:left w:val="none" w:sz="0" w:space="0" w:color="auto"/>
                                        <w:bottom w:val="none" w:sz="0" w:space="0" w:color="auto"/>
                                        <w:right w:val="none" w:sz="0" w:space="0" w:color="auto"/>
                                      </w:divBdr>
                                      <w:divsChild>
                                        <w:div w:id="45910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302710">
                                  <w:marLeft w:val="0"/>
                                  <w:marRight w:val="0"/>
                                  <w:marTop w:val="0"/>
                                  <w:marBottom w:val="0"/>
                                  <w:divBdr>
                                    <w:top w:val="none" w:sz="0" w:space="0" w:color="auto"/>
                                    <w:left w:val="none" w:sz="0" w:space="0" w:color="auto"/>
                                    <w:bottom w:val="none" w:sz="0" w:space="0" w:color="auto"/>
                                    <w:right w:val="none" w:sz="0" w:space="0" w:color="auto"/>
                                  </w:divBdr>
                                  <w:divsChild>
                                    <w:div w:id="2028361458">
                                      <w:marLeft w:val="0"/>
                                      <w:marRight w:val="0"/>
                                      <w:marTop w:val="0"/>
                                      <w:marBottom w:val="0"/>
                                      <w:divBdr>
                                        <w:top w:val="none" w:sz="0" w:space="0" w:color="auto"/>
                                        <w:left w:val="none" w:sz="0" w:space="0" w:color="auto"/>
                                        <w:bottom w:val="none" w:sz="0" w:space="0" w:color="auto"/>
                                        <w:right w:val="none" w:sz="0" w:space="0" w:color="auto"/>
                                      </w:divBdr>
                                    </w:div>
                                    <w:div w:id="1722822905">
                                      <w:marLeft w:val="0"/>
                                      <w:marRight w:val="0"/>
                                      <w:marTop w:val="0"/>
                                      <w:marBottom w:val="0"/>
                                      <w:divBdr>
                                        <w:top w:val="none" w:sz="0" w:space="0" w:color="auto"/>
                                        <w:left w:val="none" w:sz="0" w:space="0" w:color="auto"/>
                                        <w:bottom w:val="none" w:sz="0" w:space="0" w:color="auto"/>
                                        <w:right w:val="none" w:sz="0" w:space="0" w:color="auto"/>
                                      </w:divBdr>
                                      <w:divsChild>
                                        <w:div w:id="313218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373248">
                                  <w:marLeft w:val="0"/>
                                  <w:marRight w:val="0"/>
                                  <w:marTop w:val="0"/>
                                  <w:marBottom w:val="0"/>
                                  <w:divBdr>
                                    <w:top w:val="none" w:sz="0" w:space="0" w:color="auto"/>
                                    <w:left w:val="none" w:sz="0" w:space="0" w:color="auto"/>
                                    <w:bottom w:val="none" w:sz="0" w:space="0" w:color="auto"/>
                                    <w:right w:val="none" w:sz="0" w:space="0" w:color="auto"/>
                                  </w:divBdr>
                                  <w:divsChild>
                                    <w:div w:id="219481752">
                                      <w:marLeft w:val="0"/>
                                      <w:marRight w:val="0"/>
                                      <w:marTop w:val="0"/>
                                      <w:marBottom w:val="0"/>
                                      <w:divBdr>
                                        <w:top w:val="none" w:sz="0" w:space="0" w:color="auto"/>
                                        <w:left w:val="none" w:sz="0" w:space="0" w:color="auto"/>
                                        <w:bottom w:val="none" w:sz="0" w:space="0" w:color="auto"/>
                                        <w:right w:val="none" w:sz="0" w:space="0" w:color="auto"/>
                                      </w:divBdr>
                                    </w:div>
                                    <w:div w:id="540557424">
                                      <w:marLeft w:val="0"/>
                                      <w:marRight w:val="0"/>
                                      <w:marTop w:val="0"/>
                                      <w:marBottom w:val="0"/>
                                      <w:divBdr>
                                        <w:top w:val="none" w:sz="0" w:space="0" w:color="auto"/>
                                        <w:left w:val="none" w:sz="0" w:space="0" w:color="auto"/>
                                        <w:bottom w:val="none" w:sz="0" w:space="0" w:color="auto"/>
                                        <w:right w:val="none" w:sz="0" w:space="0" w:color="auto"/>
                                      </w:divBdr>
                                      <w:divsChild>
                                        <w:div w:id="1989897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721380">
                                  <w:marLeft w:val="0"/>
                                  <w:marRight w:val="0"/>
                                  <w:marTop w:val="0"/>
                                  <w:marBottom w:val="0"/>
                                  <w:divBdr>
                                    <w:top w:val="none" w:sz="0" w:space="0" w:color="auto"/>
                                    <w:left w:val="none" w:sz="0" w:space="0" w:color="auto"/>
                                    <w:bottom w:val="none" w:sz="0" w:space="0" w:color="auto"/>
                                    <w:right w:val="none" w:sz="0" w:space="0" w:color="auto"/>
                                  </w:divBdr>
                                  <w:divsChild>
                                    <w:div w:id="961229740">
                                      <w:marLeft w:val="0"/>
                                      <w:marRight w:val="0"/>
                                      <w:marTop w:val="0"/>
                                      <w:marBottom w:val="0"/>
                                      <w:divBdr>
                                        <w:top w:val="none" w:sz="0" w:space="0" w:color="auto"/>
                                        <w:left w:val="none" w:sz="0" w:space="0" w:color="auto"/>
                                        <w:bottom w:val="none" w:sz="0" w:space="0" w:color="auto"/>
                                        <w:right w:val="none" w:sz="0" w:space="0" w:color="auto"/>
                                      </w:divBdr>
                                    </w:div>
                                    <w:div w:id="1231043626">
                                      <w:marLeft w:val="0"/>
                                      <w:marRight w:val="0"/>
                                      <w:marTop w:val="0"/>
                                      <w:marBottom w:val="0"/>
                                      <w:divBdr>
                                        <w:top w:val="none" w:sz="0" w:space="0" w:color="auto"/>
                                        <w:left w:val="none" w:sz="0" w:space="0" w:color="auto"/>
                                        <w:bottom w:val="none" w:sz="0" w:space="0" w:color="auto"/>
                                        <w:right w:val="none" w:sz="0" w:space="0" w:color="auto"/>
                                      </w:divBdr>
                                      <w:divsChild>
                                        <w:div w:id="1816415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379093">
                                  <w:marLeft w:val="0"/>
                                  <w:marRight w:val="0"/>
                                  <w:marTop w:val="0"/>
                                  <w:marBottom w:val="0"/>
                                  <w:divBdr>
                                    <w:top w:val="none" w:sz="0" w:space="0" w:color="auto"/>
                                    <w:left w:val="none" w:sz="0" w:space="0" w:color="auto"/>
                                    <w:bottom w:val="none" w:sz="0" w:space="0" w:color="auto"/>
                                    <w:right w:val="none" w:sz="0" w:space="0" w:color="auto"/>
                                  </w:divBdr>
                                  <w:divsChild>
                                    <w:div w:id="1448282436">
                                      <w:marLeft w:val="0"/>
                                      <w:marRight w:val="0"/>
                                      <w:marTop w:val="0"/>
                                      <w:marBottom w:val="0"/>
                                      <w:divBdr>
                                        <w:top w:val="none" w:sz="0" w:space="0" w:color="auto"/>
                                        <w:left w:val="none" w:sz="0" w:space="0" w:color="auto"/>
                                        <w:bottom w:val="none" w:sz="0" w:space="0" w:color="auto"/>
                                        <w:right w:val="none" w:sz="0" w:space="0" w:color="auto"/>
                                      </w:divBdr>
                                    </w:div>
                                    <w:div w:id="1533418367">
                                      <w:marLeft w:val="0"/>
                                      <w:marRight w:val="0"/>
                                      <w:marTop w:val="0"/>
                                      <w:marBottom w:val="0"/>
                                      <w:divBdr>
                                        <w:top w:val="none" w:sz="0" w:space="0" w:color="auto"/>
                                        <w:left w:val="none" w:sz="0" w:space="0" w:color="auto"/>
                                        <w:bottom w:val="none" w:sz="0" w:space="0" w:color="auto"/>
                                        <w:right w:val="none" w:sz="0" w:space="0" w:color="auto"/>
                                      </w:divBdr>
                                      <w:divsChild>
                                        <w:div w:id="187800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84820">
                                  <w:marLeft w:val="0"/>
                                  <w:marRight w:val="0"/>
                                  <w:marTop w:val="0"/>
                                  <w:marBottom w:val="0"/>
                                  <w:divBdr>
                                    <w:top w:val="none" w:sz="0" w:space="0" w:color="auto"/>
                                    <w:left w:val="none" w:sz="0" w:space="0" w:color="auto"/>
                                    <w:bottom w:val="none" w:sz="0" w:space="0" w:color="auto"/>
                                    <w:right w:val="none" w:sz="0" w:space="0" w:color="auto"/>
                                  </w:divBdr>
                                  <w:divsChild>
                                    <w:div w:id="475758410">
                                      <w:marLeft w:val="0"/>
                                      <w:marRight w:val="0"/>
                                      <w:marTop w:val="0"/>
                                      <w:marBottom w:val="0"/>
                                      <w:divBdr>
                                        <w:top w:val="none" w:sz="0" w:space="0" w:color="auto"/>
                                        <w:left w:val="none" w:sz="0" w:space="0" w:color="auto"/>
                                        <w:bottom w:val="none" w:sz="0" w:space="0" w:color="auto"/>
                                        <w:right w:val="none" w:sz="0" w:space="0" w:color="auto"/>
                                      </w:divBdr>
                                    </w:div>
                                    <w:div w:id="1878202904">
                                      <w:marLeft w:val="0"/>
                                      <w:marRight w:val="0"/>
                                      <w:marTop w:val="0"/>
                                      <w:marBottom w:val="0"/>
                                      <w:divBdr>
                                        <w:top w:val="none" w:sz="0" w:space="0" w:color="auto"/>
                                        <w:left w:val="none" w:sz="0" w:space="0" w:color="auto"/>
                                        <w:bottom w:val="none" w:sz="0" w:space="0" w:color="auto"/>
                                        <w:right w:val="none" w:sz="0" w:space="0" w:color="auto"/>
                                      </w:divBdr>
                                      <w:divsChild>
                                        <w:div w:id="158302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110845">
                                  <w:marLeft w:val="0"/>
                                  <w:marRight w:val="0"/>
                                  <w:marTop w:val="0"/>
                                  <w:marBottom w:val="0"/>
                                  <w:divBdr>
                                    <w:top w:val="none" w:sz="0" w:space="0" w:color="auto"/>
                                    <w:left w:val="none" w:sz="0" w:space="0" w:color="auto"/>
                                    <w:bottom w:val="none" w:sz="0" w:space="0" w:color="auto"/>
                                    <w:right w:val="none" w:sz="0" w:space="0" w:color="auto"/>
                                  </w:divBdr>
                                  <w:divsChild>
                                    <w:div w:id="67728811">
                                      <w:marLeft w:val="0"/>
                                      <w:marRight w:val="0"/>
                                      <w:marTop w:val="0"/>
                                      <w:marBottom w:val="0"/>
                                      <w:divBdr>
                                        <w:top w:val="none" w:sz="0" w:space="0" w:color="auto"/>
                                        <w:left w:val="none" w:sz="0" w:space="0" w:color="auto"/>
                                        <w:bottom w:val="none" w:sz="0" w:space="0" w:color="auto"/>
                                        <w:right w:val="none" w:sz="0" w:space="0" w:color="auto"/>
                                      </w:divBdr>
                                    </w:div>
                                    <w:div w:id="398093596">
                                      <w:marLeft w:val="0"/>
                                      <w:marRight w:val="0"/>
                                      <w:marTop w:val="0"/>
                                      <w:marBottom w:val="0"/>
                                      <w:divBdr>
                                        <w:top w:val="none" w:sz="0" w:space="0" w:color="auto"/>
                                        <w:left w:val="none" w:sz="0" w:space="0" w:color="auto"/>
                                        <w:bottom w:val="none" w:sz="0" w:space="0" w:color="auto"/>
                                        <w:right w:val="none" w:sz="0" w:space="0" w:color="auto"/>
                                      </w:divBdr>
                                      <w:divsChild>
                                        <w:div w:id="1380595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466320">
                                  <w:marLeft w:val="0"/>
                                  <w:marRight w:val="0"/>
                                  <w:marTop w:val="0"/>
                                  <w:marBottom w:val="0"/>
                                  <w:divBdr>
                                    <w:top w:val="none" w:sz="0" w:space="0" w:color="auto"/>
                                    <w:left w:val="none" w:sz="0" w:space="0" w:color="auto"/>
                                    <w:bottom w:val="none" w:sz="0" w:space="0" w:color="auto"/>
                                    <w:right w:val="none" w:sz="0" w:space="0" w:color="auto"/>
                                  </w:divBdr>
                                  <w:divsChild>
                                    <w:div w:id="1226405205">
                                      <w:marLeft w:val="0"/>
                                      <w:marRight w:val="0"/>
                                      <w:marTop w:val="0"/>
                                      <w:marBottom w:val="0"/>
                                      <w:divBdr>
                                        <w:top w:val="none" w:sz="0" w:space="0" w:color="auto"/>
                                        <w:left w:val="none" w:sz="0" w:space="0" w:color="auto"/>
                                        <w:bottom w:val="none" w:sz="0" w:space="0" w:color="auto"/>
                                        <w:right w:val="none" w:sz="0" w:space="0" w:color="auto"/>
                                      </w:divBdr>
                                    </w:div>
                                    <w:div w:id="395594312">
                                      <w:marLeft w:val="0"/>
                                      <w:marRight w:val="0"/>
                                      <w:marTop w:val="0"/>
                                      <w:marBottom w:val="0"/>
                                      <w:divBdr>
                                        <w:top w:val="none" w:sz="0" w:space="0" w:color="auto"/>
                                        <w:left w:val="none" w:sz="0" w:space="0" w:color="auto"/>
                                        <w:bottom w:val="none" w:sz="0" w:space="0" w:color="auto"/>
                                        <w:right w:val="none" w:sz="0" w:space="0" w:color="auto"/>
                                      </w:divBdr>
                                      <w:divsChild>
                                        <w:div w:id="169125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158596">
                                  <w:marLeft w:val="0"/>
                                  <w:marRight w:val="0"/>
                                  <w:marTop w:val="0"/>
                                  <w:marBottom w:val="0"/>
                                  <w:divBdr>
                                    <w:top w:val="none" w:sz="0" w:space="0" w:color="auto"/>
                                    <w:left w:val="none" w:sz="0" w:space="0" w:color="auto"/>
                                    <w:bottom w:val="none" w:sz="0" w:space="0" w:color="auto"/>
                                    <w:right w:val="none" w:sz="0" w:space="0" w:color="auto"/>
                                  </w:divBdr>
                                  <w:divsChild>
                                    <w:div w:id="1578786950">
                                      <w:marLeft w:val="0"/>
                                      <w:marRight w:val="0"/>
                                      <w:marTop w:val="0"/>
                                      <w:marBottom w:val="0"/>
                                      <w:divBdr>
                                        <w:top w:val="none" w:sz="0" w:space="0" w:color="auto"/>
                                        <w:left w:val="none" w:sz="0" w:space="0" w:color="auto"/>
                                        <w:bottom w:val="none" w:sz="0" w:space="0" w:color="auto"/>
                                        <w:right w:val="none" w:sz="0" w:space="0" w:color="auto"/>
                                      </w:divBdr>
                                    </w:div>
                                    <w:div w:id="1727991528">
                                      <w:marLeft w:val="0"/>
                                      <w:marRight w:val="0"/>
                                      <w:marTop w:val="0"/>
                                      <w:marBottom w:val="0"/>
                                      <w:divBdr>
                                        <w:top w:val="none" w:sz="0" w:space="0" w:color="auto"/>
                                        <w:left w:val="none" w:sz="0" w:space="0" w:color="auto"/>
                                        <w:bottom w:val="none" w:sz="0" w:space="0" w:color="auto"/>
                                        <w:right w:val="none" w:sz="0" w:space="0" w:color="auto"/>
                                      </w:divBdr>
                                      <w:divsChild>
                                        <w:div w:id="480970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960930">
                                  <w:marLeft w:val="0"/>
                                  <w:marRight w:val="0"/>
                                  <w:marTop w:val="0"/>
                                  <w:marBottom w:val="0"/>
                                  <w:divBdr>
                                    <w:top w:val="none" w:sz="0" w:space="0" w:color="auto"/>
                                    <w:left w:val="none" w:sz="0" w:space="0" w:color="auto"/>
                                    <w:bottom w:val="none" w:sz="0" w:space="0" w:color="auto"/>
                                    <w:right w:val="none" w:sz="0" w:space="0" w:color="auto"/>
                                  </w:divBdr>
                                  <w:divsChild>
                                    <w:div w:id="767847944">
                                      <w:marLeft w:val="0"/>
                                      <w:marRight w:val="0"/>
                                      <w:marTop w:val="0"/>
                                      <w:marBottom w:val="0"/>
                                      <w:divBdr>
                                        <w:top w:val="none" w:sz="0" w:space="0" w:color="auto"/>
                                        <w:left w:val="none" w:sz="0" w:space="0" w:color="auto"/>
                                        <w:bottom w:val="none" w:sz="0" w:space="0" w:color="auto"/>
                                        <w:right w:val="none" w:sz="0" w:space="0" w:color="auto"/>
                                      </w:divBdr>
                                    </w:div>
                                    <w:div w:id="1562599049">
                                      <w:marLeft w:val="0"/>
                                      <w:marRight w:val="0"/>
                                      <w:marTop w:val="0"/>
                                      <w:marBottom w:val="0"/>
                                      <w:divBdr>
                                        <w:top w:val="none" w:sz="0" w:space="0" w:color="auto"/>
                                        <w:left w:val="none" w:sz="0" w:space="0" w:color="auto"/>
                                        <w:bottom w:val="none" w:sz="0" w:space="0" w:color="auto"/>
                                        <w:right w:val="none" w:sz="0" w:space="0" w:color="auto"/>
                                      </w:divBdr>
                                      <w:divsChild>
                                        <w:div w:id="116628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452976">
                                  <w:marLeft w:val="0"/>
                                  <w:marRight w:val="0"/>
                                  <w:marTop w:val="0"/>
                                  <w:marBottom w:val="0"/>
                                  <w:divBdr>
                                    <w:top w:val="none" w:sz="0" w:space="0" w:color="auto"/>
                                    <w:left w:val="none" w:sz="0" w:space="0" w:color="auto"/>
                                    <w:bottom w:val="none" w:sz="0" w:space="0" w:color="auto"/>
                                    <w:right w:val="none" w:sz="0" w:space="0" w:color="auto"/>
                                  </w:divBdr>
                                  <w:divsChild>
                                    <w:div w:id="1858347977">
                                      <w:marLeft w:val="0"/>
                                      <w:marRight w:val="0"/>
                                      <w:marTop w:val="0"/>
                                      <w:marBottom w:val="0"/>
                                      <w:divBdr>
                                        <w:top w:val="none" w:sz="0" w:space="0" w:color="auto"/>
                                        <w:left w:val="none" w:sz="0" w:space="0" w:color="auto"/>
                                        <w:bottom w:val="none" w:sz="0" w:space="0" w:color="auto"/>
                                        <w:right w:val="none" w:sz="0" w:space="0" w:color="auto"/>
                                      </w:divBdr>
                                    </w:div>
                                    <w:div w:id="222184637">
                                      <w:marLeft w:val="0"/>
                                      <w:marRight w:val="0"/>
                                      <w:marTop w:val="0"/>
                                      <w:marBottom w:val="0"/>
                                      <w:divBdr>
                                        <w:top w:val="none" w:sz="0" w:space="0" w:color="auto"/>
                                        <w:left w:val="none" w:sz="0" w:space="0" w:color="auto"/>
                                        <w:bottom w:val="none" w:sz="0" w:space="0" w:color="auto"/>
                                        <w:right w:val="none" w:sz="0" w:space="0" w:color="auto"/>
                                      </w:divBdr>
                                      <w:divsChild>
                                        <w:div w:id="164693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987215">
                                  <w:marLeft w:val="0"/>
                                  <w:marRight w:val="0"/>
                                  <w:marTop w:val="0"/>
                                  <w:marBottom w:val="0"/>
                                  <w:divBdr>
                                    <w:top w:val="none" w:sz="0" w:space="0" w:color="auto"/>
                                    <w:left w:val="none" w:sz="0" w:space="0" w:color="auto"/>
                                    <w:bottom w:val="none" w:sz="0" w:space="0" w:color="auto"/>
                                    <w:right w:val="none" w:sz="0" w:space="0" w:color="auto"/>
                                  </w:divBdr>
                                  <w:divsChild>
                                    <w:div w:id="1268152891">
                                      <w:marLeft w:val="0"/>
                                      <w:marRight w:val="0"/>
                                      <w:marTop w:val="0"/>
                                      <w:marBottom w:val="0"/>
                                      <w:divBdr>
                                        <w:top w:val="none" w:sz="0" w:space="0" w:color="auto"/>
                                        <w:left w:val="none" w:sz="0" w:space="0" w:color="auto"/>
                                        <w:bottom w:val="none" w:sz="0" w:space="0" w:color="auto"/>
                                        <w:right w:val="none" w:sz="0" w:space="0" w:color="auto"/>
                                      </w:divBdr>
                                    </w:div>
                                    <w:div w:id="1896042694">
                                      <w:marLeft w:val="0"/>
                                      <w:marRight w:val="0"/>
                                      <w:marTop w:val="0"/>
                                      <w:marBottom w:val="0"/>
                                      <w:divBdr>
                                        <w:top w:val="none" w:sz="0" w:space="0" w:color="auto"/>
                                        <w:left w:val="none" w:sz="0" w:space="0" w:color="auto"/>
                                        <w:bottom w:val="none" w:sz="0" w:space="0" w:color="auto"/>
                                        <w:right w:val="none" w:sz="0" w:space="0" w:color="auto"/>
                                      </w:divBdr>
                                      <w:divsChild>
                                        <w:div w:id="119688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0082594">
                                  <w:marLeft w:val="0"/>
                                  <w:marRight w:val="0"/>
                                  <w:marTop w:val="0"/>
                                  <w:marBottom w:val="0"/>
                                  <w:divBdr>
                                    <w:top w:val="none" w:sz="0" w:space="0" w:color="auto"/>
                                    <w:left w:val="none" w:sz="0" w:space="0" w:color="auto"/>
                                    <w:bottom w:val="none" w:sz="0" w:space="0" w:color="auto"/>
                                    <w:right w:val="none" w:sz="0" w:space="0" w:color="auto"/>
                                  </w:divBdr>
                                  <w:divsChild>
                                    <w:div w:id="1456370700">
                                      <w:marLeft w:val="0"/>
                                      <w:marRight w:val="0"/>
                                      <w:marTop w:val="0"/>
                                      <w:marBottom w:val="0"/>
                                      <w:divBdr>
                                        <w:top w:val="none" w:sz="0" w:space="0" w:color="auto"/>
                                        <w:left w:val="none" w:sz="0" w:space="0" w:color="auto"/>
                                        <w:bottom w:val="none" w:sz="0" w:space="0" w:color="auto"/>
                                        <w:right w:val="none" w:sz="0" w:space="0" w:color="auto"/>
                                      </w:divBdr>
                                    </w:div>
                                    <w:div w:id="806708104">
                                      <w:marLeft w:val="0"/>
                                      <w:marRight w:val="0"/>
                                      <w:marTop w:val="0"/>
                                      <w:marBottom w:val="0"/>
                                      <w:divBdr>
                                        <w:top w:val="none" w:sz="0" w:space="0" w:color="auto"/>
                                        <w:left w:val="none" w:sz="0" w:space="0" w:color="auto"/>
                                        <w:bottom w:val="none" w:sz="0" w:space="0" w:color="auto"/>
                                        <w:right w:val="none" w:sz="0" w:space="0" w:color="auto"/>
                                      </w:divBdr>
                                      <w:divsChild>
                                        <w:div w:id="40384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037999">
                                  <w:marLeft w:val="0"/>
                                  <w:marRight w:val="0"/>
                                  <w:marTop w:val="0"/>
                                  <w:marBottom w:val="0"/>
                                  <w:divBdr>
                                    <w:top w:val="none" w:sz="0" w:space="0" w:color="auto"/>
                                    <w:left w:val="none" w:sz="0" w:space="0" w:color="auto"/>
                                    <w:bottom w:val="none" w:sz="0" w:space="0" w:color="auto"/>
                                    <w:right w:val="none" w:sz="0" w:space="0" w:color="auto"/>
                                  </w:divBdr>
                                  <w:divsChild>
                                    <w:div w:id="1167287859">
                                      <w:marLeft w:val="0"/>
                                      <w:marRight w:val="0"/>
                                      <w:marTop w:val="0"/>
                                      <w:marBottom w:val="0"/>
                                      <w:divBdr>
                                        <w:top w:val="none" w:sz="0" w:space="0" w:color="auto"/>
                                        <w:left w:val="none" w:sz="0" w:space="0" w:color="auto"/>
                                        <w:bottom w:val="none" w:sz="0" w:space="0" w:color="auto"/>
                                        <w:right w:val="none" w:sz="0" w:space="0" w:color="auto"/>
                                      </w:divBdr>
                                    </w:div>
                                    <w:div w:id="569269120">
                                      <w:marLeft w:val="0"/>
                                      <w:marRight w:val="0"/>
                                      <w:marTop w:val="0"/>
                                      <w:marBottom w:val="0"/>
                                      <w:divBdr>
                                        <w:top w:val="none" w:sz="0" w:space="0" w:color="auto"/>
                                        <w:left w:val="none" w:sz="0" w:space="0" w:color="auto"/>
                                        <w:bottom w:val="none" w:sz="0" w:space="0" w:color="auto"/>
                                        <w:right w:val="none" w:sz="0" w:space="0" w:color="auto"/>
                                      </w:divBdr>
                                      <w:divsChild>
                                        <w:div w:id="1186291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599573">
                                  <w:marLeft w:val="0"/>
                                  <w:marRight w:val="0"/>
                                  <w:marTop w:val="0"/>
                                  <w:marBottom w:val="0"/>
                                  <w:divBdr>
                                    <w:top w:val="none" w:sz="0" w:space="0" w:color="auto"/>
                                    <w:left w:val="none" w:sz="0" w:space="0" w:color="auto"/>
                                    <w:bottom w:val="none" w:sz="0" w:space="0" w:color="auto"/>
                                    <w:right w:val="none" w:sz="0" w:space="0" w:color="auto"/>
                                  </w:divBdr>
                                  <w:divsChild>
                                    <w:div w:id="1124274678">
                                      <w:marLeft w:val="0"/>
                                      <w:marRight w:val="0"/>
                                      <w:marTop w:val="0"/>
                                      <w:marBottom w:val="0"/>
                                      <w:divBdr>
                                        <w:top w:val="none" w:sz="0" w:space="0" w:color="auto"/>
                                        <w:left w:val="none" w:sz="0" w:space="0" w:color="auto"/>
                                        <w:bottom w:val="none" w:sz="0" w:space="0" w:color="auto"/>
                                        <w:right w:val="none" w:sz="0" w:space="0" w:color="auto"/>
                                      </w:divBdr>
                                    </w:div>
                                    <w:div w:id="1940094284">
                                      <w:marLeft w:val="0"/>
                                      <w:marRight w:val="0"/>
                                      <w:marTop w:val="0"/>
                                      <w:marBottom w:val="0"/>
                                      <w:divBdr>
                                        <w:top w:val="none" w:sz="0" w:space="0" w:color="auto"/>
                                        <w:left w:val="none" w:sz="0" w:space="0" w:color="auto"/>
                                        <w:bottom w:val="none" w:sz="0" w:space="0" w:color="auto"/>
                                        <w:right w:val="none" w:sz="0" w:space="0" w:color="auto"/>
                                      </w:divBdr>
                                      <w:divsChild>
                                        <w:div w:id="99379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0279650">
                                  <w:marLeft w:val="0"/>
                                  <w:marRight w:val="0"/>
                                  <w:marTop w:val="0"/>
                                  <w:marBottom w:val="0"/>
                                  <w:divBdr>
                                    <w:top w:val="none" w:sz="0" w:space="0" w:color="auto"/>
                                    <w:left w:val="none" w:sz="0" w:space="0" w:color="auto"/>
                                    <w:bottom w:val="none" w:sz="0" w:space="0" w:color="auto"/>
                                    <w:right w:val="none" w:sz="0" w:space="0" w:color="auto"/>
                                  </w:divBdr>
                                  <w:divsChild>
                                    <w:div w:id="1643609040">
                                      <w:marLeft w:val="0"/>
                                      <w:marRight w:val="0"/>
                                      <w:marTop w:val="0"/>
                                      <w:marBottom w:val="0"/>
                                      <w:divBdr>
                                        <w:top w:val="none" w:sz="0" w:space="0" w:color="auto"/>
                                        <w:left w:val="none" w:sz="0" w:space="0" w:color="auto"/>
                                        <w:bottom w:val="none" w:sz="0" w:space="0" w:color="auto"/>
                                        <w:right w:val="none" w:sz="0" w:space="0" w:color="auto"/>
                                      </w:divBdr>
                                    </w:div>
                                    <w:div w:id="242690661">
                                      <w:marLeft w:val="0"/>
                                      <w:marRight w:val="0"/>
                                      <w:marTop w:val="0"/>
                                      <w:marBottom w:val="0"/>
                                      <w:divBdr>
                                        <w:top w:val="none" w:sz="0" w:space="0" w:color="auto"/>
                                        <w:left w:val="none" w:sz="0" w:space="0" w:color="auto"/>
                                        <w:bottom w:val="none" w:sz="0" w:space="0" w:color="auto"/>
                                        <w:right w:val="none" w:sz="0" w:space="0" w:color="auto"/>
                                      </w:divBdr>
                                      <w:divsChild>
                                        <w:div w:id="34243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303199">
                                  <w:marLeft w:val="0"/>
                                  <w:marRight w:val="0"/>
                                  <w:marTop w:val="0"/>
                                  <w:marBottom w:val="0"/>
                                  <w:divBdr>
                                    <w:top w:val="none" w:sz="0" w:space="0" w:color="auto"/>
                                    <w:left w:val="none" w:sz="0" w:space="0" w:color="auto"/>
                                    <w:bottom w:val="none" w:sz="0" w:space="0" w:color="auto"/>
                                    <w:right w:val="none" w:sz="0" w:space="0" w:color="auto"/>
                                  </w:divBdr>
                                  <w:divsChild>
                                    <w:div w:id="1636568429">
                                      <w:marLeft w:val="0"/>
                                      <w:marRight w:val="0"/>
                                      <w:marTop w:val="0"/>
                                      <w:marBottom w:val="0"/>
                                      <w:divBdr>
                                        <w:top w:val="none" w:sz="0" w:space="0" w:color="auto"/>
                                        <w:left w:val="none" w:sz="0" w:space="0" w:color="auto"/>
                                        <w:bottom w:val="none" w:sz="0" w:space="0" w:color="auto"/>
                                        <w:right w:val="none" w:sz="0" w:space="0" w:color="auto"/>
                                      </w:divBdr>
                                    </w:div>
                                    <w:div w:id="891963185">
                                      <w:marLeft w:val="0"/>
                                      <w:marRight w:val="0"/>
                                      <w:marTop w:val="0"/>
                                      <w:marBottom w:val="0"/>
                                      <w:divBdr>
                                        <w:top w:val="none" w:sz="0" w:space="0" w:color="auto"/>
                                        <w:left w:val="none" w:sz="0" w:space="0" w:color="auto"/>
                                        <w:bottom w:val="none" w:sz="0" w:space="0" w:color="auto"/>
                                        <w:right w:val="none" w:sz="0" w:space="0" w:color="auto"/>
                                      </w:divBdr>
                                      <w:divsChild>
                                        <w:div w:id="207112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161273">
                                  <w:marLeft w:val="0"/>
                                  <w:marRight w:val="0"/>
                                  <w:marTop w:val="0"/>
                                  <w:marBottom w:val="0"/>
                                  <w:divBdr>
                                    <w:top w:val="none" w:sz="0" w:space="0" w:color="auto"/>
                                    <w:left w:val="none" w:sz="0" w:space="0" w:color="auto"/>
                                    <w:bottom w:val="none" w:sz="0" w:space="0" w:color="auto"/>
                                    <w:right w:val="none" w:sz="0" w:space="0" w:color="auto"/>
                                  </w:divBdr>
                                  <w:divsChild>
                                    <w:div w:id="1139372320">
                                      <w:marLeft w:val="0"/>
                                      <w:marRight w:val="0"/>
                                      <w:marTop w:val="0"/>
                                      <w:marBottom w:val="0"/>
                                      <w:divBdr>
                                        <w:top w:val="none" w:sz="0" w:space="0" w:color="auto"/>
                                        <w:left w:val="none" w:sz="0" w:space="0" w:color="auto"/>
                                        <w:bottom w:val="none" w:sz="0" w:space="0" w:color="auto"/>
                                        <w:right w:val="none" w:sz="0" w:space="0" w:color="auto"/>
                                      </w:divBdr>
                                    </w:div>
                                    <w:div w:id="1262689157">
                                      <w:marLeft w:val="0"/>
                                      <w:marRight w:val="0"/>
                                      <w:marTop w:val="0"/>
                                      <w:marBottom w:val="0"/>
                                      <w:divBdr>
                                        <w:top w:val="none" w:sz="0" w:space="0" w:color="auto"/>
                                        <w:left w:val="none" w:sz="0" w:space="0" w:color="auto"/>
                                        <w:bottom w:val="none" w:sz="0" w:space="0" w:color="auto"/>
                                        <w:right w:val="none" w:sz="0" w:space="0" w:color="auto"/>
                                      </w:divBdr>
                                      <w:divsChild>
                                        <w:div w:id="19474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1223330">
                                  <w:marLeft w:val="0"/>
                                  <w:marRight w:val="0"/>
                                  <w:marTop w:val="0"/>
                                  <w:marBottom w:val="0"/>
                                  <w:divBdr>
                                    <w:top w:val="none" w:sz="0" w:space="0" w:color="auto"/>
                                    <w:left w:val="none" w:sz="0" w:space="0" w:color="auto"/>
                                    <w:bottom w:val="none" w:sz="0" w:space="0" w:color="auto"/>
                                    <w:right w:val="none" w:sz="0" w:space="0" w:color="auto"/>
                                  </w:divBdr>
                                  <w:divsChild>
                                    <w:div w:id="779105988">
                                      <w:marLeft w:val="0"/>
                                      <w:marRight w:val="0"/>
                                      <w:marTop w:val="0"/>
                                      <w:marBottom w:val="0"/>
                                      <w:divBdr>
                                        <w:top w:val="none" w:sz="0" w:space="0" w:color="auto"/>
                                        <w:left w:val="none" w:sz="0" w:space="0" w:color="auto"/>
                                        <w:bottom w:val="none" w:sz="0" w:space="0" w:color="auto"/>
                                        <w:right w:val="none" w:sz="0" w:space="0" w:color="auto"/>
                                      </w:divBdr>
                                    </w:div>
                                    <w:div w:id="454983457">
                                      <w:marLeft w:val="0"/>
                                      <w:marRight w:val="0"/>
                                      <w:marTop w:val="0"/>
                                      <w:marBottom w:val="0"/>
                                      <w:divBdr>
                                        <w:top w:val="none" w:sz="0" w:space="0" w:color="auto"/>
                                        <w:left w:val="none" w:sz="0" w:space="0" w:color="auto"/>
                                        <w:bottom w:val="none" w:sz="0" w:space="0" w:color="auto"/>
                                        <w:right w:val="none" w:sz="0" w:space="0" w:color="auto"/>
                                      </w:divBdr>
                                      <w:divsChild>
                                        <w:div w:id="27737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6543756">
                                  <w:marLeft w:val="0"/>
                                  <w:marRight w:val="0"/>
                                  <w:marTop w:val="0"/>
                                  <w:marBottom w:val="0"/>
                                  <w:divBdr>
                                    <w:top w:val="none" w:sz="0" w:space="0" w:color="auto"/>
                                    <w:left w:val="none" w:sz="0" w:space="0" w:color="auto"/>
                                    <w:bottom w:val="none" w:sz="0" w:space="0" w:color="auto"/>
                                    <w:right w:val="none" w:sz="0" w:space="0" w:color="auto"/>
                                  </w:divBdr>
                                  <w:divsChild>
                                    <w:div w:id="57828520">
                                      <w:marLeft w:val="0"/>
                                      <w:marRight w:val="0"/>
                                      <w:marTop w:val="0"/>
                                      <w:marBottom w:val="0"/>
                                      <w:divBdr>
                                        <w:top w:val="none" w:sz="0" w:space="0" w:color="auto"/>
                                        <w:left w:val="none" w:sz="0" w:space="0" w:color="auto"/>
                                        <w:bottom w:val="none" w:sz="0" w:space="0" w:color="auto"/>
                                        <w:right w:val="none" w:sz="0" w:space="0" w:color="auto"/>
                                      </w:divBdr>
                                    </w:div>
                                    <w:div w:id="3215089">
                                      <w:marLeft w:val="0"/>
                                      <w:marRight w:val="0"/>
                                      <w:marTop w:val="0"/>
                                      <w:marBottom w:val="0"/>
                                      <w:divBdr>
                                        <w:top w:val="none" w:sz="0" w:space="0" w:color="auto"/>
                                        <w:left w:val="none" w:sz="0" w:space="0" w:color="auto"/>
                                        <w:bottom w:val="none" w:sz="0" w:space="0" w:color="auto"/>
                                        <w:right w:val="none" w:sz="0" w:space="0" w:color="auto"/>
                                      </w:divBdr>
                                      <w:divsChild>
                                        <w:div w:id="38522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4430976">
                                  <w:marLeft w:val="0"/>
                                  <w:marRight w:val="0"/>
                                  <w:marTop w:val="0"/>
                                  <w:marBottom w:val="0"/>
                                  <w:divBdr>
                                    <w:top w:val="none" w:sz="0" w:space="0" w:color="auto"/>
                                    <w:left w:val="none" w:sz="0" w:space="0" w:color="auto"/>
                                    <w:bottom w:val="none" w:sz="0" w:space="0" w:color="auto"/>
                                    <w:right w:val="none" w:sz="0" w:space="0" w:color="auto"/>
                                  </w:divBdr>
                                  <w:divsChild>
                                    <w:div w:id="666179120">
                                      <w:marLeft w:val="0"/>
                                      <w:marRight w:val="0"/>
                                      <w:marTop w:val="0"/>
                                      <w:marBottom w:val="0"/>
                                      <w:divBdr>
                                        <w:top w:val="none" w:sz="0" w:space="0" w:color="auto"/>
                                        <w:left w:val="none" w:sz="0" w:space="0" w:color="auto"/>
                                        <w:bottom w:val="none" w:sz="0" w:space="0" w:color="auto"/>
                                        <w:right w:val="none" w:sz="0" w:space="0" w:color="auto"/>
                                      </w:divBdr>
                                    </w:div>
                                    <w:div w:id="1194154790">
                                      <w:marLeft w:val="0"/>
                                      <w:marRight w:val="0"/>
                                      <w:marTop w:val="0"/>
                                      <w:marBottom w:val="0"/>
                                      <w:divBdr>
                                        <w:top w:val="none" w:sz="0" w:space="0" w:color="auto"/>
                                        <w:left w:val="none" w:sz="0" w:space="0" w:color="auto"/>
                                        <w:bottom w:val="none" w:sz="0" w:space="0" w:color="auto"/>
                                        <w:right w:val="none" w:sz="0" w:space="0" w:color="auto"/>
                                      </w:divBdr>
                                      <w:divsChild>
                                        <w:div w:id="125108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8262958">
                                  <w:marLeft w:val="0"/>
                                  <w:marRight w:val="0"/>
                                  <w:marTop w:val="0"/>
                                  <w:marBottom w:val="0"/>
                                  <w:divBdr>
                                    <w:top w:val="none" w:sz="0" w:space="0" w:color="auto"/>
                                    <w:left w:val="none" w:sz="0" w:space="0" w:color="auto"/>
                                    <w:bottom w:val="none" w:sz="0" w:space="0" w:color="auto"/>
                                    <w:right w:val="none" w:sz="0" w:space="0" w:color="auto"/>
                                  </w:divBdr>
                                  <w:divsChild>
                                    <w:div w:id="1046954406">
                                      <w:marLeft w:val="0"/>
                                      <w:marRight w:val="0"/>
                                      <w:marTop w:val="0"/>
                                      <w:marBottom w:val="0"/>
                                      <w:divBdr>
                                        <w:top w:val="none" w:sz="0" w:space="0" w:color="auto"/>
                                        <w:left w:val="none" w:sz="0" w:space="0" w:color="auto"/>
                                        <w:bottom w:val="none" w:sz="0" w:space="0" w:color="auto"/>
                                        <w:right w:val="none" w:sz="0" w:space="0" w:color="auto"/>
                                      </w:divBdr>
                                    </w:div>
                                    <w:div w:id="1636334751">
                                      <w:marLeft w:val="0"/>
                                      <w:marRight w:val="0"/>
                                      <w:marTop w:val="0"/>
                                      <w:marBottom w:val="0"/>
                                      <w:divBdr>
                                        <w:top w:val="none" w:sz="0" w:space="0" w:color="auto"/>
                                        <w:left w:val="none" w:sz="0" w:space="0" w:color="auto"/>
                                        <w:bottom w:val="none" w:sz="0" w:space="0" w:color="auto"/>
                                        <w:right w:val="none" w:sz="0" w:space="0" w:color="auto"/>
                                      </w:divBdr>
                                      <w:divsChild>
                                        <w:div w:id="593439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098352">
                                  <w:marLeft w:val="0"/>
                                  <w:marRight w:val="0"/>
                                  <w:marTop w:val="0"/>
                                  <w:marBottom w:val="0"/>
                                  <w:divBdr>
                                    <w:top w:val="none" w:sz="0" w:space="0" w:color="auto"/>
                                    <w:left w:val="none" w:sz="0" w:space="0" w:color="auto"/>
                                    <w:bottom w:val="none" w:sz="0" w:space="0" w:color="auto"/>
                                    <w:right w:val="none" w:sz="0" w:space="0" w:color="auto"/>
                                  </w:divBdr>
                                  <w:divsChild>
                                    <w:div w:id="504828305">
                                      <w:marLeft w:val="0"/>
                                      <w:marRight w:val="0"/>
                                      <w:marTop w:val="0"/>
                                      <w:marBottom w:val="0"/>
                                      <w:divBdr>
                                        <w:top w:val="none" w:sz="0" w:space="0" w:color="auto"/>
                                        <w:left w:val="none" w:sz="0" w:space="0" w:color="auto"/>
                                        <w:bottom w:val="none" w:sz="0" w:space="0" w:color="auto"/>
                                        <w:right w:val="none" w:sz="0" w:space="0" w:color="auto"/>
                                      </w:divBdr>
                                    </w:div>
                                    <w:div w:id="1709909696">
                                      <w:marLeft w:val="0"/>
                                      <w:marRight w:val="0"/>
                                      <w:marTop w:val="0"/>
                                      <w:marBottom w:val="0"/>
                                      <w:divBdr>
                                        <w:top w:val="none" w:sz="0" w:space="0" w:color="auto"/>
                                        <w:left w:val="none" w:sz="0" w:space="0" w:color="auto"/>
                                        <w:bottom w:val="none" w:sz="0" w:space="0" w:color="auto"/>
                                        <w:right w:val="none" w:sz="0" w:space="0" w:color="auto"/>
                                      </w:divBdr>
                                      <w:divsChild>
                                        <w:div w:id="532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159393">
                                  <w:marLeft w:val="0"/>
                                  <w:marRight w:val="0"/>
                                  <w:marTop w:val="0"/>
                                  <w:marBottom w:val="0"/>
                                  <w:divBdr>
                                    <w:top w:val="none" w:sz="0" w:space="0" w:color="auto"/>
                                    <w:left w:val="none" w:sz="0" w:space="0" w:color="auto"/>
                                    <w:bottom w:val="none" w:sz="0" w:space="0" w:color="auto"/>
                                    <w:right w:val="none" w:sz="0" w:space="0" w:color="auto"/>
                                  </w:divBdr>
                                  <w:divsChild>
                                    <w:div w:id="1418095412">
                                      <w:marLeft w:val="0"/>
                                      <w:marRight w:val="0"/>
                                      <w:marTop w:val="0"/>
                                      <w:marBottom w:val="0"/>
                                      <w:divBdr>
                                        <w:top w:val="none" w:sz="0" w:space="0" w:color="auto"/>
                                        <w:left w:val="none" w:sz="0" w:space="0" w:color="auto"/>
                                        <w:bottom w:val="none" w:sz="0" w:space="0" w:color="auto"/>
                                        <w:right w:val="none" w:sz="0" w:space="0" w:color="auto"/>
                                      </w:divBdr>
                                    </w:div>
                                    <w:div w:id="600455148">
                                      <w:marLeft w:val="0"/>
                                      <w:marRight w:val="0"/>
                                      <w:marTop w:val="0"/>
                                      <w:marBottom w:val="0"/>
                                      <w:divBdr>
                                        <w:top w:val="none" w:sz="0" w:space="0" w:color="auto"/>
                                        <w:left w:val="none" w:sz="0" w:space="0" w:color="auto"/>
                                        <w:bottom w:val="none" w:sz="0" w:space="0" w:color="auto"/>
                                        <w:right w:val="none" w:sz="0" w:space="0" w:color="auto"/>
                                      </w:divBdr>
                                      <w:divsChild>
                                        <w:div w:id="150602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370344">
                                  <w:marLeft w:val="0"/>
                                  <w:marRight w:val="0"/>
                                  <w:marTop w:val="0"/>
                                  <w:marBottom w:val="0"/>
                                  <w:divBdr>
                                    <w:top w:val="none" w:sz="0" w:space="0" w:color="auto"/>
                                    <w:left w:val="none" w:sz="0" w:space="0" w:color="auto"/>
                                    <w:bottom w:val="none" w:sz="0" w:space="0" w:color="auto"/>
                                    <w:right w:val="none" w:sz="0" w:space="0" w:color="auto"/>
                                  </w:divBdr>
                                  <w:divsChild>
                                    <w:div w:id="1605309672">
                                      <w:marLeft w:val="0"/>
                                      <w:marRight w:val="0"/>
                                      <w:marTop w:val="0"/>
                                      <w:marBottom w:val="0"/>
                                      <w:divBdr>
                                        <w:top w:val="none" w:sz="0" w:space="0" w:color="auto"/>
                                        <w:left w:val="none" w:sz="0" w:space="0" w:color="auto"/>
                                        <w:bottom w:val="none" w:sz="0" w:space="0" w:color="auto"/>
                                        <w:right w:val="none" w:sz="0" w:space="0" w:color="auto"/>
                                      </w:divBdr>
                                    </w:div>
                                    <w:div w:id="600534219">
                                      <w:marLeft w:val="0"/>
                                      <w:marRight w:val="0"/>
                                      <w:marTop w:val="0"/>
                                      <w:marBottom w:val="0"/>
                                      <w:divBdr>
                                        <w:top w:val="none" w:sz="0" w:space="0" w:color="auto"/>
                                        <w:left w:val="none" w:sz="0" w:space="0" w:color="auto"/>
                                        <w:bottom w:val="none" w:sz="0" w:space="0" w:color="auto"/>
                                        <w:right w:val="none" w:sz="0" w:space="0" w:color="auto"/>
                                      </w:divBdr>
                                      <w:divsChild>
                                        <w:div w:id="430468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783002">
                                  <w:marLeft w:val="0"/>
                                  <w:marRight w:val="0"/>
                                  <w:marTop w:val="0"/>
                                  <w:marBottom w:val="0"/>
                                  <w:divBdr>
                                    <w:top w:val="none" w:sz="0" w:space="0" w:color="auto"/>
                                    <w:left w:val="none" w:sz="0" w:space="0" w:color="auto"/>
                                    <w:bottom w:val="none" w:sz="0" w:space="0" w:color="auto"/>
                                    <w:right w:val="none" w:sz="0" w:space="0" w:color="auto"/>
                                  </w:divBdr>
                                  <w:divsChild>
                                    <w:div w:id="1723747706">
                                      <w:marLeft w:val="0"/>
                                      <w:marRight w:val="0"/>
                                      <w:marTop w:val="0"/>
                                      <w:marBottom w:val="0"/>
                                      <w:divBdr>
                                        <w:top w:val="none" w:sz="0" w:space="0" w:color="auto"/>
                                        <w:left w:val="none" w:sz="0" w:space="0" w:color="auto"/>
                                        <w:bottom w:val="none" w:sz="0" w:space="0" w:color="auto"/>
                                        <w:right w:val="none" w:sz="0" w:space="0" w:color="auto"/>
                                      </w:divBdr>
                                    </w:div>
                                    <w:div w:id="989671477">
                                      <w:marLeft w:val="0"/>
                                      <w:marRight w:val="0"/>
                                      <w:marTop w:val="0"/>
                                      <w:marBottom w:val="0"/>
                                      <w:divBdr>
                                        <w:top w:val="none" w:sz="0" w:space="0" w:color="auto"/>
                                        <w:left w:val="none" w:sz="0" w:space="0" w:color="auto"/>
                                        <w:bottom w:val="none" w:sz="0" w:space="0" w:color="auto"/>
                                        <w:right w:val="none" w:sz="0" w:space="0" w:color="auto"/>
                                      </w:divBdr>
                                      <w:divsChild>
                                        <w:div w:id="1788162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940774">
                                  <w:marLeft w:val="0"/>
                                  <w:marRight w:val="0"/>
                                  <w:marTop w:val="0"/>
                                  <w:marBottom w:val="0"/>
                                  <w:divBdr>
                                    <w:top w:val="none" w:sz="0" w:space="0" w:color="auto"/>
                                    <w:left w:val="none" w:sz="0" w:space="0" w:color="auto"/>
                                    <w:bottom w:val="none" w:sz="0" w:space="0" w:color="auto"/>
                                    <w:right w:val="none" w:sz="0" w:space="0" w:color="auto"/>
                                  </w:divBdr>
                                  <w:divsChild>
                                    <w:div w:id="753090086">
                                      <w:marLeft w:val="0"/>
                                      <w:marRight w:val="0"/>
                                      <w:marTop w:val="0"/>
                                      <w:marBottom w:val="0"/>
                                      <w:divBdr>
                                        <w:top w:val="none" w:sz="0" w:space="0" w:color="auto"/>
                                        <w:left w:val="none" w:sz="0" w:space="0" w:color="auto"/>
                                        <w:bottom w:val="none" w:sz="0" w:space="0" w:color="auto"/>
                                        <w:right w:val="none" w:sz="0" w:space="0" w:color="auto"/>
                                      </w:divBdr>
                                    </w:div>
                                    <w:div w:id="1797790336">
                                      <w:marLeft w:val="0"/>
                                      <w:marRight w:val="0"/>
                                      <w:marTop w:val="0"/>
                                      <w:marBottom w:val="0"/>
                                      <w:divBdr>
                                        <w:top w:val="none" w:sz="0" w:space="0" w:color="auto"/>
                                        <w:left w:val="none" w:sz="0" w:space="0" w:color="auto"/>
                                        <w:bottom w:val="none" w:sz="0" w:space="0" w:color="auto"/>
                                        <w:right w:val="none" w:sz="0" w:space="0" w:color="auto"/>
                                      </w:divBdr>
                                      <w:divsChild>
                                        <w:div w:id="114042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3179628">
                                  <w:marLeft w:val="0"/>
                                  <w:marRight w:val="0"/>
                                  <w:marTop w:val="0"/>
                                  <w:marBottom w:val="0"/>
                                  <w:divBdr>
                                    <w:top w:val="none" w:sz="0" w:space="0" w:color="auto"/>
                                    <w:left w:val="none" w:sz="0" w:space="0" w:color="auto"/>
                                    <w:bottom w:val="none" w:sz="0" w:space="0" w:color="auto"/>
                                    <w:right w:val="none" w:sz="0" w:space="0" w:color="auto"/>
                                  </w:divBdr>
                                  <w:divsChild>
                                    <w:div w:id="1200629256">
                                      <w:marLeft w:val="0"/>
                                      <w:marRight w:val="0"/>
                                      <w:marTop w:val="0"/>
                                      <w:marBottom w:val="0"/>
                                      <w:divBdr>
                                        <w:top w:val="none" w:sz="0" w:space="0" w:color="auto"/>
                                        <w:left w:val="none" w:sz="0" w:space="0" w:color="auto"/>
                                        <w:bottom w:val="none" w:sz="0" w:space="0" w:color="auto"/>
                                        <w:right w:val="none" w:sz="0" w:space="0" w:color="auto"/>
                                      </w:divBdr>
                                    </w:div>
                                    <w:div w:id="103355224">
                                      <w:marLeft w:val="0"/>
                                      <w:marRight w:val="0"/>
                                      <w:marTop w:val="0"/>
                                      <w:marBottom w:val="0"/>
                                      <w:divBdr>
                                        <w:top w:val="none" w:sz="0" w:space="0" w:color="auto"/>
                                        <w:left w:val="none" w:sz="0" w:space="0" w:color="auto"/>
                                        <w:bottom w:val="none" w:sz="0" w:space="0" w:color="auto"/>
                                        <w:right w:val="none" w:sz="0" w:space="0" w:color="auto"/>
                                      </w:divBdr>
                                      <w:divsChild>
                                        <w:div w:id="55577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19667">
                                  <w:marLeft w:val="0"/>
                                  <w:marRight w:val="0"/>
                                  <w:marTop w:val="0"/>
                                  <w:marBottom w:val="0"/>
                                  <w:divBdr>
                                    <w:top w:val="none" w:sz="0" w:space="0" w:color="auto"/>
                                    <w:left w:val="none" w:sz="0" w:space="0" w:color="auto"/>
                                    <w:bottom w:val="none" w:sz="0" w:space="0" w:color="auto"/>
                                    <w:right w:val="none" w:sz="0" w:space="0" w:color="auto"/>
                                  </w:divBdr>
                                  <w:divsChild>
                                    <w:div w:id="636760756">
                                      <w:marLeft w:val="0"/>
                                      <w:marRight w:val="0"/>
                                      <w:marTop w:val="0"/>
                                      <w:marBottom w:val="0"/>
                                      <w:divBdr>
                                        <w:top w:val="none" w:sz="0" w:space="0" w:color="auto"/>
                                        <w:left w:val="none" w:sz="0" w:space="0" w:color="auto"/>
                                        <w:bottom w:val="none" w:sz="0" w:space="0" w:color="auto"/>
                                        <w:right w:val="none" w:sz="0" w:space="0" w:color="auto"/>
                                      </w:divBdr>
                                    </w:div>
                                    <w:div w:id="589239080">
                                      <w:marLeft w:val="0"/>
                                      <w:marRight w:val="0"/>
                                      <w:marTop w:val="0"/>
                                      <w:marBottom w:val="0"/>
                                      <w:divBdr>
                                        <w:top w:val="none" w:sz="0" w:space="0" w:color="auto"/>
                                        <w:left w:val="none" w:sz="0" w:space="0" w:color="auto"/>
                                        <w:bottom w:val="none" w:sz="0" w:space="0" w:color="auto"/>
                                        <w:right w:val="none" w:sz="0" w:space="0" w:color="auto"/>
                                      </w:divBdr>
                                      <w:divsChild>
                                        <w:div w:id="843667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77341">
                                  <w:marLeft w:val="0"/>
                                  <w:marRight w:val="0"/>
                                  <w:marTop w:val="0"/>
                                  <w:marBottom w:val="0"/>
                                  <w:divBdr>
                                    <w:top w:val="none" w:sz="0" w:space="0" w:color="auto"/>
                                    <w:left w:val="none" w:sz="0" w:space="0" w:color="auto"/>
                                    <w:bottom w:val="none" w:sz="0" w:space="0" w:color="auto"/>
                                    <w:right w:val="none" w:sz="0" w:space="0" w:color="auto"/>
                                  </w:divBdr>
                                  <w:divsChild>
                                    <w:div w:id="326790235">
                                      <w:marLeft w:val="0"/>
                                      <w:marRight w:val="0"/>
                                      <w:marTop w:val="0"/>
                                      <w:marBottom w:val="0"/>
                                      <w:divBdr>
                                        <w:top w:val="none" w:sz="0" w:space="0" w:color="auto"/>
                                        <w:left w:val="none" w:sz="0" w:space="0" w:color="auto"/>
                                        <w:bottom w:val="none" w:sz="0" w:space="0" w:color="auto"/>
                                        <w:right w:val="none" w:sz="0" w:space="0" w:color="auto"/>
                                      </w:divBdr>
                                    </w:div>
                                    <w:div w:id="823819286">
                                      <w:marLeft w:val="0"/>
                                      <w:marRight w:val="0"/>
                                      <w:marTop w:val="0"/>
                                      <w:marBottom w:val="0"/>
                                      <w:divBdr>
                                        <w:top w:val="none" w:sz="0" w:space="0" w:color="auto"/>
                                        <w:left w:val="none" w:sz="0" w:space="0" w:color="auto"/>
                                        <w:bottom w:val="none" w:sz="0" w:space="0" w:color="auto"/>
                                        <w:right w:val="none" w:sz="0" w:space="0" w:color="auto"/>
                                      </w:divBdr>
                                      <w:divsChild>
                                        <w:div w:id="2018924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430733">
                                  <w:marLeft w:val="0"/>
                                  <w:marRight w:val="0"/>
                                  <w:marTop w:val="0"/>
                                  <w:marBottom w:val="0"/>
                                  <w:divBdr>
                                    <w:top w:val="none" w:sz="0" w:space="0" w:color="auto"/>
                                    <w:left w:val="none" w:sz="0" w:space="0" w:color="auto"/>
                                    <w:bottom w:val="none" w:sz="0" w:space="0" w:color="auto"/>
                                    <w:right w:val="none" w:sz="0" w:space="0" w:color="auto"/>
                                  </w:divBdr>
                                  <w:divsChild>
                                    <w:div w:id="1698194189">
                                      <w:marLeft w:val="0"/>
                                      <w:marRight w:val="0"/>
                                      <w:marTop w:val="0"/>
                                      <w:marBottom w:val="0"/>
                                      <w:divBdr>
                                        <w:top w:val="none" w:sz="0" w:space="0" w:color="auto"/>
                                        <w:left w:val="none" w:sz="0" w:space="0" w:color="auto"/>
                                        <w:bottom w:val="none" w:sz="0" w:space="0" w:color="auto"/>
                                        <w:right w:val="none" w:sz="0" w:space="0" w:color="auto"/>
                                      </w:divBdr>
                                    </w:div>
                                    <w:div w:id="435835162">
                                      <w:marLeft w:val="0"/>
                                      <w:marRight w:val="0"/>
                                      <w:marTop w:val="0"/>
                                      <w:marBottom w:val="0"/>
                                      <w:divBdr>
                                        <w:top w:val="none" w:sz="0" w:space="0" w:color="auto"/>
                                        <w:left w:val="none" w:sz="0" w:space="0" w:color="auto"/>
                                        <w:bottom w:val="none" w:sz="0" w:space="0" w:color="auto"/>
                                        <w:right w:val="none" w:sz="0" w:space="0" w:color="auto"/>
                                      </w:divBdr>
                                      <w:divsChild>
                                        <w:div w:id="48590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251086">
                                  <w:marLeft w:val="0"/>
                                  <w:marRight w:val="0"/>
                                  <w:marTop w:val="0"/>
                                  <w:marBottom w:val="0"/>
                                  <w:divBdr>
                                    <w:top w:val="none" w:sz="0" w:space="0" w:color="auto"/>
                                    <w:left w:val="none" w:sz="0" w:space="0" w:color="auto"/>
                                    <w:bottom w:val="none" w:sz="0" w:space="0" w:color="auto"/>
                                    <w:right w:val="none" w:sz="0" w:space="0" w:color="auto"/>
                                  </w:divBdr>
                                  <w:divsChild>
                                    <w:div w:id="124011860">
                                      <w:marLeft w:val="0"/>
                                      <w:marRight w:val="0"/>
                                      <w:marTop w:val="0"/>
                                      <w:marBottom w:val="0"/>
                                      <w:divBdr>
                                        <w:top w:val="none" w:sz="0" w:space="0" w:color="auto"/>
                                        <w:left w:val="none" w:sz="0" w:space="0" w:color="auto"/>
                                        <w:bottom w:val="none" w:sz="0" w:space="0" w:color="auto"/>
                                        <w:right w:val="none" w:sz="0" w:space="0" w:color="auto"/>
                                      </w:divBdr>
                                    </w:div>
                                    <w:div w:id="806707512">
                                      <w:marLeft w:val="0"/>
                                      <w:marRight w:val="0"/>
                                      <w:marTop w:val="0"/>
                                      <w:marBottom w:val="0"/>
                                      <w:divBdr>
                                        <w:top w:val="none" w:sz="0" w:space="0" w:color="auto"/>
                                        <w:left w:val="none" w:sz="0" w:space="0" w:color="auto"/>
                                        <w:bottom w:val="none" w:sz="0" w:space="0" w:color="auto"/>
                                        <w:right w:val="none" w:sz="0" w:space="0" w:color="auto"/>
                                      </w:divBdr>
                                      <w:divsChild>
                                        <w:div w:id="10297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902451">
                                  <w:marLeft w:val="0"/>
                                  <w:marRight w:val="0"/>
                                  <w:marTop w:val="0"/>
                                  <w:marBottom w:val="0"/>
                                  <w:divBdr>
                                    <w:top w:val="none" w:sz="0" w:space="0" w:color="auto"/>
                                    <w:left w:val="none" w:sz="0" w:space="0" w:color="auto"/>
                                    <w:bottom w:val="none" w:sz="0" w:space="0" w:color="auto"/>
                                    <w:right w:val="none" w:sz="0" w:space="0" w:color="auto"/>
                                  </w:divBdr>
                                  <w:divsChild>
                                    <w:div w:id="2063675011">
                                      <w:marLeft w:val="0"/>
                                      <w:marRight w:val="0"/>
                                      <w:marTop w:val="0"/>
                                      <w:marBottom w:val="0"/>
                                      <w:divBdr>
                                        <w:top w:val="none" w:sz="0" w:space="0" w:color="auto"/>
                                        <w:left w:val="none" w:sz="0" w:space="0" w:color="auto"/>
                                        <w:bottom w:val="none" w:sz="0" w:space="0" w:color="auto"/>
                                        <w:right w:val="none" w:sz="0" w:space="0" w:color="auto"/>
                                      </w:divBdr>
                                    </w:div>
                                    <w:div w:id="2074234367">
                                      <w:marLeft w:val="0"/>
                                      <w:marRight w:val="0"/>
                                      <w:marTop w:val="0"/>
                                      <w:marBottom w:val="0"/>
                                      <w:divBdr>
                                        <w:top w:val="none" w:sz="0" w:space="0" w:color="auto"/>
                                        <w:left w:val="none" w:sz="0" w:space="0" w:color="auto"/>
                                        <w:bottom w:val="none" w:sz="0" w:space="0" w:color="auto"/>
                                        <w:right w:val="none" w:sz="0" w:space="0" w:color="auto"/>
                                      </w:divBdr>
                                      <w:divsChild>
                                        <w:div w:id="193816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19093">
                                  <w:marLeft w:val="0"/>
                                  <w:marRight w:val="0"/>
                                  <w:marTop w:val="0"/>
                                  <w:marBottom w:val="0"/>
                                  <w:divBdr>
                                    <w:top w:val="none" w:sz="0" w:space="0" w:color="auto"/>
                                    <w:left w:val="none" w:sz="0" w:space="0" w:color="auto"/>
                                    <w:bottom w:val="none" w:sz="0" w:space="0" w:color="auto"/>
                                    <w:right w:val="none" w:sz="0" w:space="0" w:color="auto"/>
                                  </w:divBdr>
                                  <w:divsChild>
                                    <w:div w:id="1062405382">
                                      <w:marLeft w:val="0"/>
                                      <w:marRight w:val="0"/>
                                      <w:marTop w:val="0"/>
                                      <w:marBottom w:val="0"/>
                                      <w:divBdr>
                                        <w:top w:val="none" w:sz="0" w:space="0" w:color="auto"/>
                                        <w:left w:val="none" w:sz="0" w:space="0" w:color="auto"/>
                                        <w:bottom w:val="none" w:sz="0" w:space="0" w:color="auto"/>
                                        <w:right w:val="none" w:sz="0" w:space="0" w:color="auto"/>
                                      </w:divBdr>
                                    </w:div>
                                    <w:div w:id="1703095973">
                                      <w:marLeft w:val="0"/>
                                      <w:marRight w:val="0"/>
                                      <w:marTop w:val="0"/>
                                      <w:marBottom w:val="0"/>
                                      <w:divBdr>
                                        <w:top w:val="none" w:sz="0" w:space="0" w:color="auto"/>
                                        <w:left w:val="none" w:sz="0" w:space="0" w:color="auto"/>
                                        <w:bottom w:val="none" w:sz="0" w:space="0" w:color="auto"/>
                                        <w:right w:val="none" w:sz="0" w:space="0" w:color="auto"/>
                                      </w:divBdr>
                                      <w:divsChild>
                                        <w:div w:id="126133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965776">
                                  <w:marLeft w:val="0"/>
                                  <w:marRight w:val="0"/>
                                  <w:marTop w:val="0"/>
                                  <w:marBottom w:val="0"/>
                                  <w:divBdr>
                                    <w:top w:val="none" w:sz="0" w:space="0" w:color="auto"/>
                                    <w:left w:val="none" w:sz="0" w:space="0" w:color="auto"/>
                                    <w:bottom w:val="none" w:sz="0" w:space="0" w:color="auto"/>
                                    <w:right w:val="none" w:sz="0" w:space="0" w:color="auto"/>
                                  </w:divBdr>
                                  <w:divsChild>
                                    <w:div w:id="1322149800">
                                      <w:marLeft w:val="0"/>
                                      <w:marRight w:val="0"/>
                                      <w:marTop w:val="0"/>
                                      <w:marBottom w:val="0"/>
                                      <w:divBdr>
                                        <w:top w:val="none" w:sz="0" w:space="0" w:color="auto"/>
                                        <w:left w:val="none" w:sz="0" w:space="0" w:color="auto"/>
                                        <w:bottom w:val="none" w:sz="0" w:space="0" w:color="auto"/>
                                        <w:right w:val="none" w:sz="0" w:space="0" w:color="auto"/>
                                      </w:divBdr>
                                    </w:div>
                                    <w:div w:id="150677149">
                                      <w:marLeft w:val="0"/>
                                      <w:marRight w:val="0"/>
                                      <w:marTop w:val="0"/>
                                      <w:marBottom w:val="0"/>
                                      <w:divBdr>
                                        <w:top w:val="none" w:sz="0" w:space="0" w:color="auto"/>
                                        <w:left w:val="none" w:sz="0" w:space="0" w:color="auto"/>
                                        <w:bottom w:val="none" w:sz="0" w:space="0" w:color="auto"/>
                                        <w:right w:val="none" w:sz="0" w:space="0" w:color="auto"/>
                                      </w:divBdr>
                                      <w:divsChild>
                                        <w:div w:id="1066951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754177">
                                  <w:marLeft w:val="0"/>
                                  <w:marRight w:val="0"/>
                                  <w:marTop w:val="0"/>
                                  <w:marBottom w:val="0"/>
                                  <w:divBdr>
                                    <w:top w:val="none" w:sz="0" w:space="0" w:color="auto"/>
                                    <w:left w:val="none" w:sz="0" w:space="0" w:color="auto"/>
                                    <w:bottom w:val="none" w:sz="0" w:space="0" w:color="auto"/>
                                    <w:right w:val="none" w:sz="0" w:space="0" w:color="auto"/>
                                  </w:divBdr>
                                  <w:divsChild>
                                    <w:div w:id="1258296163">
                                      <w:marLeft w:val="0"/>
                                      <w:marRight w:val="0"/>
                                      <w:marTop w:val="0"/>
                                      <w:marBottom w:val="0"/>
                                      <w:divBdr>
                                        <w:top w:val="none" w:sz="0" w:space="0" w:color="auto"/>
                                        <w:left w:val="none" w:sz="0" w:space="0" w:color="auto"/>
                                        <w:bottom w:val="none" w:sz="0" w:space="0" w:color="auto"/>
                                        <w:right w:val="none" w:sz="0" w:space="0" w:color="auto"/>
                                      </w:divBdr>
                                    </w:div>
                                    <w:div w:id="1805271473">
                                      <w:marLeft w:val="0"/>
                                      <w:marRight w:val="0"/>
                                      <w:marTop w:val="0"/>
                                      <w:marBottom w:val="0"/>
                                      <w:divBdr>
                                        <w:top w:val="none" w:sz="0" w:space="0" w:color="auto"/>
                                        <w:left w:val="none" w:sz="0" w:space="0" w:color="auto"/>
                                        <w:bottom w:val="none" w:sz="0" w:space="0" w:color="auto"/>
                                        <w:right w:val="none" w:sz="0" w:space="0" w:color="auto"/>
                                      </w:divBdr>
                                      <w:divsChild>
                                        <w:div w:id="1138575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51244">
                                  <w:marLeft w:val="0"/>
                                  <w:marRight w:val="0"/>
                                  <w:marTop w:val="0"/>
                                  <w:marBottom w:val="0"/>
                                  <w:divBdr>
                                    <w:top w:val="none" w:sz="0" w:space="0" w:color="auto"/>
                                    <w:left w:val="none" w:sz="0" w:space="0" w:color="auto"/>
                                    <w:bottom w:val="none" w:sz="0" w:space="0" w:color="auto"/>
                                    <w:right w:val="none" w:sz="0" w:space="0" w:color="auto"/>
                                  </w:divBdr>
                                  <w:divsChild>
                                    <w:div w:id="100422483">
                                      <w:marLeft w:val="0"/>
                                      <w:marRight w:val="0"/>
                                      <w:marTop w:val="0"/>
                                      <w:marBottom w:val="0"/>
                                      <w:divBdr>
                                        <w:top w:val="none" w:sz="0" w:space="0" w:color="auto"/>
                                        <w:left w:val="none" w:sz="0" w:space="0" w:color="auto"/>
                                        <w:bottom w:val="none" w:sz="0" w:space="0" w:color="auto"/>
                                        <w:right w:val="none" w:sz="0" w:space="0" w:color="auto"/>
                                      </w:divBdr>
                                    </w:div>
                                    <w:div w:id="642196506">
                                      <w:marLeft w:val="0"/>
                                      <w:marRight w:val="0"/>
                                      <w:marTop w:val="0"/>
                                      <w:marBottom w:val="0"/>
                                      <w:divBdr>
                                        <w:top w:val="none" w:sz="0" w:space="0" w:color="auto"/>
                                        <w:left w:val="none" w:sz="0" w:space="0" w:color="auto"/>
                                        <w:bottom w:val="none" w:sz="0" w:space="0" w:color="auto"/>
                                        <w:right w:val="none" w:sz="0" w:space="0" w:color="auto"/>
                                      </w:divBdr>
                                      <w:divsChild>
                                        <w:div w:id="1217594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87357">
                                  <w:marLeft w:val="0"/>
                                  <w:marRight w:val="0"/>
                                  <w:marTop w:val="0"/>
                                  <w:marBottom w:val="0"/>
                                  <w:divBdr>
                                    <w:top w:val="none" w:sz="0" w:space="0" w:color="auto"/>
                                    <w:left w:val="none" w:sz="0" w:space="0" w:color="auto"/>
                                    <w:bottom w:val="none" w:sz="0" w:space="0" w:color="auto"/>
                                    <w:right w:val="none" w:sz="0" w:space="0" w:color="auto"/>
                                  </w:divBdr>
                                  <w:divsChild>
                                    <w:div w:id="498009896">
                                      <w:marLeft w:val="0"/>
                                      <w:marRight w:val="0"/>
                                      <w:marTop w:val="0"/>
                                      <w:marBottom w:val="0"/>
                                      <w:divBdr>
                                        <w:top w:val="none" w:sz="0" w:space="0" w:color="auto"/>
                                        <w:left w:val="none" w:sz="0" w:space="0" w:color="auto"/>
                                        <w:bottom w:val="none" w:sz="0" w:space="0" w:color="auto"/>
                                        <w:right w:val="none" w:sz="0" w:space="0" w:color="auto"/>
                                      </w:divBdr>
                                    </w:div>
                                    <w:div w:id="793524281">
                                      <w:marLeft w:val="0"/>
                                      <w:marRight w:val="0"/>
                                      <w:marTop w:val="0"/>
                                      <w:marBottom w:val="0"/>
                                      <w:divBdr>
                                        <w:top w:val="none" w:sz="0" w:space="0" w:color="auto"/>
                                        <w:left w:val="none" w:sz="0" w:space="0" w:color="auto"/>
                                        <w:bottom w:val="none" w:sz="0" w:space="0" w:color="auto"/>
                                        <w:right w:val="none" w:sz="0" w:space="0" w:color="auto"/>
                                      </w:divBdr>
                                      <w:divsChild>
                                        <w:div w:id="174542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080703">
                                  <w:marLeft w:val="0"/>
                                  <w:marRight w:val="0"/>
                                  <w:marTop w:val="0"/>
                                  <w:marBottom w:val="0"/>
                                  <w:divBdr>
                                    <w:top w:val="none" w:sz="0" w:space="0" w:color="auto"/>
                                    <w:left w:val="none" w:sz="0" w:space="0" w:color="auto"/>
                                    <w:bottom w:val="none" w:sz="0" w:space="0" w:color="auto"/>
                                    <w:right w:val="none" w:sz="0" w:space="0" w:color="auto"/>
                                  </w:divBdr>
                                  <w:divsChild>
                                    <w:div w:id="1564952117">
                                      <w:marLeft w:val="0"/>
                                      <w:marRight w:val="0"/>
                                      <w:marTop w:val="0"/>
                                      <w:marBottom w:val="0"/>
                                      <w:divBdr>
                                        <w:top w:val="none" w:sz="0" w:space="0" w:color="auto"/>
                                        <w:left w:val="none" w:sz="0" w:space="0" w:color="auto"/>
                                        <w:bottom w:val="none" w:sz="0" w:space="0" w:color="auto"/>
                                        <w:right w:val="none" w:sz="0" w:space="0" w:color="auto"/>
                                      </w:divBdr>
                                    </w:div>
                                    <w:div w:id="281424430">
                                      <w:marLeft w:val="0"/>
                                      <w:marRight w:val="0"/>
                                      <w:marTop w:val="0"/>
                                      <w:marBottom w:val="0"/>
                                      <w:divBdr>
                                        <w:top w:val="none" w:sz="0" w:space="0" w:color="auto"/>
                                        <w:left w:val="none" w:sz="0" w:space="0" w:color="auto"/>
                                        <w:bottom w:val="none" w:sz="0" w:space="0" w:color="auto"/>
                                        <w:right w:val="none" w:sz="0" w:space="0" w:color="auto"/>
                                      </w:divBdr>
                                      <w:divsChild>
                                        <w:div w:id="160244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72660393">
      <w:bodyDiv w:val="1"/>
      <w:marLeft w:val="0"/>
      <w:marRight w:val="0"/>
      <w:marTop w:val="0"/>
      <w:marBottom w:val="0"/>
      <w:divBdr>
        <w:top w:val="none" w:sz="0" w:space="0" w:color="auto"/>
        <w:left w:val="none" w:sz="0" w:space="0" w:color="auto"/>
        <w:bottom w:val="none" w:sz="0" w:space="0" w:color="auto"/>
        <w:right w:val="none" w:sz="0" w:space="0" w:color="auto"/>
      </w:divBdr>
    </w:div>
    <w:div w:id="1141733237">
      <w:bodyDiv w:val="1"/>
      <w:marLeft w:val="0"/>
      <w:marRight w:val="0"/>
      <w:marTop w:val="0"/>
      <w:marBottom w:val="0"/>
      <w:divBdr>
        <w:top w:val="none" w:sz="0" w:space="0" w:color="auto"/>
        <w:left w:val="none" w:sz="0" w:space="0" w:color="auto"/>
        <w:bottom w:val="none" w:sz="0" w:space="0" w:color="auto"/>
        <w:right w:val="none" w:sz="0" w:space="0" w:color="auto"/>
      </w:divBdr>
    </w:div>
    <w:div w:id="1243836573">
      <w:bodyDiv w:val="1"/>
      <w:marLeft w:val="0"/>
      <w:marRight w:val="0"/>
      <w:marTop w:val="0"/>
      <w:marBottom w:val="0"/>
      <w:divBdr>
        <w:top w:val="none" w:sz="0" w:space="0" w:color="auto"/>
        <w:left w:val="none" w:sz="0" w:space="0" w:color="auto"/>
        <w:bottom w:val="none" w:sz="0" w:space="0" w:color="auto"/>
        <w:right w:val="none" w:sz="0" w:space="0" w:color="auto"/>
      </w:divBdr>
    </w:div>
    <w:div w:id="1273396511">
      <w:bodyDiv w:val="1"/>
      <w:marLeft w:val="0"/>
      <w:marRight w:val="0"/>
      <w:marTop w:val="0"/>
      <w:marBottom w:val="0"/>
      <w:divBdr>
        <w:top w:val="none" w:sz="0" w:space="0" w:color="auto"/>
        <w:left w:val="none" w:sz="0" w:space="0" w:color="auto"/>
        <w:bottom w:val="none" w:sz="0" w:space="0" w:color="auto"/>
        <w:right w:val="none" w:sz="0" w:space="0" w:color="auto"/>
      </w:divBdr>
    </w:div>
    <w:div w:id="1659725810">
      <w:bodyDiv w:val="1"/>
      <w:marLeft w:val="0"/>
      <w:marRight w:val="0"/>
      <w:marTop w:val="0"/>
      <w:marBottom w:val="0"/>
      <w:divBdr>
        <w:top w:val="none" w:sz="0" w:space="0" w:color="auto"/>
        <w:left w:val="none" w:sz="0" w:space="0" w:color="auto"/>
        <w:bottom w:val="none" w:sz="0" w:space="0" w:color="auto"/>
        <w:right w:val="none" w:sz="0" w:space="0" w:color="auto"/>
      </w:divBdr>
    </w:div>
    <w:div w:id="1811822789">
      <w:bodyDiv w:val="1"/>
      <w:marLeft w:val="0"/>
      <w:marRight w:val="0"/>
      <w:marTop w:val="0"/>
      <w:marBottom w:val="0"/>
      <w:divBdr>
        <w:top w:val="none" w:sz="0" w:space="0" w:color="auto"/>
        <w:left w:val="none" w:sz="0" w:space="0" w:color="auto"/>
        <w:bottom w:val="none" w:sz="0" w:space="0" w:color="auto"/>
        <w:right w:val="none" w:sz="0" w:space="0" w:color="auto"/>
      </w:divBdr>
    </w:div>
    <w:div w:id="211409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hyperlink" Target="https://en.wikipedia.org/wiki/Nucleus_basalis_of_Meynert" TargetMode="External"/><Relationship Id="rId39" Type="http://schemas.openxmlformats.org/officeDocument/2006/relationships/image" Target="media/image23.png"/><Relationship Id="rId21" Type="http://schemas.openxmlformats.org/officeDocument/2006/relationships/image" Target="media/image15.emf"/><Relationship Id="rId34" Type="http://schemas.openxmlformats.org/officeDocument/2006/relationships/hyperlink" Target="https://en.wikipedia.org/wiki/Parkinson%27s_disease" TargetMode="External"/><Relationship Id="rId42" Type="http://schemas.openxmlformats.org/officeDocument/2006/relationships/image" Target="media/image26.png"/><Relationship Id="rId47" Type="http://schemas.openxmlformats.org/officeDocument/2006/relationships/hyperlink" Target="http://www.neurosurgeryresident.net/A.%20Neuroscience%20Basics\A.%20Bibliography.pdf" TargetMode="External"/><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hyperlink" Target="https://en.wikipedia.org/wiki/Nucleus_basalis_of_Meynert" TargetMode="External"/><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hyperlink" Target="https://www.clinicaltrials.gov/ct2/show/NCT02263937?term=NCT02263937&amp;rank=1"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hyperlink" Target="https://en.wikipedia.org/wiki/Nucleus_basalis_of_Meynert" TargetMode="External"/><Relationship Id="rId41" Type="http://schemas.openxmlformats.org/officeDocument/2006/relationships/image" Target="media/image25.png"/><Relationship Id="rId54"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hyperlink" Target="https://en.wikipedia.org/wiki/Nucleus_basalis_of_Meynert" TargetMode="External"/><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yperlink" Target="https://www.clinicaltrials.gov/ct2/show/NCT01701544?term=NCT01701544&amp;rank=1" TargetMode="External"/><Relationship Id="rId53"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en.wikipedia.org/wiki/Visual_cortex" TargetMode="External"/><Relationship Id="rId36" Type="http://schemas.openxmlformats.org/officeDocument/2006/relationships/image" Target="media/image20.png"/><Relationship Id="rId49" Type="http://schemas.openxmlformats.org/officeDocument/2006/relationships/hyperlink" Target="http://www.neurosurgeryresident.net" TargetMode="External"/><Relationship Id="rId57" Type="http://schemas.openxmlformats.org/officeDocument/2006/relationships/theme" Target="theme/theme1.xml"/><Relationship Id="rId10" Type="http://schemas.openxmlformats.org/officeDocument/2006/relationships/image" Target="media/image4.emf"/><Relationship Id="rId19" Type="http://schemas.openxmlformats.org/officeDocument/2006/relationships/image" Target="media/image13.png"/><Relationship Id="rId31" Type="http://schemas.openxmlformats.org/officeDocument/2006/relationships/hyperlink" Target="https://en.wikipedia.org/wiki/Nucleus_basalis_of_Meynert" TargetMode="External"/><Relationship Id="rId44" Type="http://schemas.openxmlformats.org/officeDocument/2006/relationships/image" Target="media/image28.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hyperlink" Target="https://en.wikipedia.org/wiki/Lateral_geniculate_body" TargetMode="External"/><Relationship Id="rId30" Type="http://schemas.openxmlformats.org/officeDocument/2006/relationships/hyperlink" Target="https://en.wikipedia.org/wiki/Nucleus_basalis_of_Meynert" TargetMode="External"/><Relationship Id="rId35" Type="http://schemas.openxmlformats.org/officeDocument/2006/relationships/hyperlink" Target="https://en.wikipedia.org/wiki/Lewy_body_dementia" TargetMode="External"/><Relationship Id="rId43" Type="http://schemas.openxmlformats.org/officeDocument/2006/relationships/image" Target="media/image27.png"/><Relationship Id="rId48" Type="http://schemas.openxmlformats.org/officeDocument/2006/relationships/hyperlink" Target="http://www.neurosurgeryresident.net/" TargetMode="External"/><Relationship Id="rId56" Type="http://schemas.openxmlformats.org/officeDocument/2006/relationships/fontTable" Target="fontTable.xml"/><Relationship Id="rId8" Type="http://schemas.openxmlformats.org/officeDocument/2006/relationships/image" Target="media/image2.emf"/><Relationship Id="rId51" Type="http://schemas.openxmlformats.org/officeDocument/2006/relationships/header" Target="header2.xml"/><Relationship Id="rId3" Type="http://schemas.openxmlformats.org/officeDocument/2006/relationships/settings" Target="settings.xml"/></Relationships>
</file>

<file path=word/_rels/header2.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iunis\AppData\Roaming\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Nervous System.dot</Template>
  <TotalTime>1171</TotalTime>
  <Pages>15</Pages>
  <Words>7917</Words>
  <Characters>45127</Characters>
  <Application>Microsoft Office Word</Application>
  <DocSecurity>0</DocSecurity>
  <Lines>376</Lines>
  <Paragraphs>105</Paragraphs>
  <ScaleCrop>false</ScaleCrop>
  <HeadingPairs>
    <vt:vector size="2" baseType="variant">
      <vt:variant>
        <vt:lpstr>Title</vt:lpstr>
      </vt:variant>
      <vt:variant>
        <vt:i4>1</vt:i4>
      </vt:variant>
    </vt:vector>
  </HeadingPairs>
  <TitlesOfParts>
    <vt:vector size="1" baseType="lpstr">
      <vt:lpstr>Viktor's Notes –</vt:lpstr>
    </vt:vector>
  </TitlesOfParts>
  <Company>www.NeurosurgeryResident.net</Company>
  <LinksUpToDate>false</LinksUpToDate>
  <CharactersWithSpaces>52939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dc:title>
  <dc:creator>Viktoras Palys, MD</dc:creator>
  <cp:lastModifiedBy>Viktoras Palys</cp:lastModifiedBy>
  <cp:revision>88</cp:revision>
  <cp:lastPrinted>2019-04-21T05:00:00Z</cp:lastPrinted>
  <dcterms:created xsi:type="dcterms:W3CDTF">2013-03-03T18:04:00Z</dcterms:created>
  <dcterms:modified xsi:type="dcterms:W3CDTF">2019-04-21T05:00:00Z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_self</vt:lpwstr>
  </property>
</Properties>
</file>