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A7" w:rsidRPr="00F626B6" w:rsidRDefault="00B25AA7" w:rsidP="007F0538">
      <w:pPr>
        <w:pStyle w:val="Title"/>
      </w:pPr>
      <w:bookmarkStart w:id="0" w:name="_GoBack"/>
      <w:r w:rsidRPr="00F626B6">
        <w:t>Metabolic Myopathies</w:t>
      </w:r>
    </w:p>
    <w:p w:rsidR="003A369F" w:rsidRDefault="003A369F" w:rsidP="003A369F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4A3ED0">
        <w:rPr>
          <w:noProof/>
        </w:rPr>
        <w:t>April 19, 2019</w:t>
      </w:r>
      <w:r>
        <w:fldChar w:fldCharType="end"/>
      </w:r>
    </w:p>
    <w:p w:rsidR="00B25AA7" w:rsidRPr="00F626B6" w:rsidRDefault="00472030">
      <w:pPr>
        <w:pStyle w:val="NormalWeb"/>
      </w:pPr>
      <w:r w:rsidRPr="00472030">
        <w:rPr>
          <w:b/>
          <w:smallCaps/>
          <w:u w:val="single"/>
        </w:rPr>
        <w:t>Metabolic Myopathies</w:t>
      </w:r>
      <w:r w:rsidRPr="00F626B6">
        <w:t xml:space="preserve"> </w:t>
      </w:r>
      <w:r w:rsidR="00B25AA7" w:rsidRPr="00F626B6">
        <w:t xml:space="preserve">- </w:t>
      </w:r>
      <w:r w:rsidR="00B25AA7" w:rsidRPr="00F626B6">
        <w:rPr>
          <w:highlight w:val="yellow"/>
        </w:rPr>
        <w:t>decreased muscle energy supply</w:t>
      </w:r>
      <w:r w:rsidR="00B25AA7" w:rsidRPr="00F626B6">
        <w:t xml:space="preserve"> due to biochemical abnormalities.</w:t>
      </w:r>
    </w:p>
    <w:p w:rsidR="00B25AA7" w:rsidRPr="00F626B6" w:rsidRDefault="00B25AA7">
      <w:pPr>
        <w:pStyle w:val="NormalWeb"/>
      </w:pPr>
    </w:p>
    <w:p w:rsidR="00B25AA7" w:rsidRPr="00F626B6" w:rsidRDefault="00B25AA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 w:rsidRPr="00F626B6">
        <w:rPr>
          <w:caps/>
        </w:rPr>
        <w:t>Carbohydrates</w:t>
      </w:r>
      <w:r w:rsidRPr="00F626B6">
        <w:t xml:space="preserve"> are essential for </w:t>
      </w:r>
      <w:r w:rsidRPr="00F626B6">
        <w:rPr>
          <w:i/>
          <w:iCs/>
        </w:rPr>
        <w:t>anaerobic</w:t>
      </w:r>
      <w:r w:rsidRPr="00F626B6">
        <w:t xml:space="preserve"> energy needs (primarily – </w:t>
      </w:r>
      <w:r w:rsidRPr="00F626B6">
        <w:rPr>
          <w:b/>
          <w:bCs/>
        </w:rPr>
        <w:t>cytoplasmic</w:t>
      </w:r>
      <w:r w:rsidRPr="00F626B6">
        <w:rPr>
          <w:b/>
          <w:bCs/>
          <w:smallCaps/>
        </w:rPr>
        <w:t xml:space="preserve"> glycogen </w:t>
      </w:r>
      <w:r w:rsidRPr="00F626B6">
        <w:t>→ glycogenolysis → glycolysis).</w:t>
      </w:r>
    </w:p>
    <w:p w:rsidR="00B25AA7" w:rsidRPr="00F626B6" w:rsidRDefault="00B25AA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</w:pPr>
      <w:r w:rsidRPr="00F626B6">
        <w:rPr>
          <w:caps/>
        </w:rPr>
        <w:t>Lipids</w:t>
      </w:r>
      <w:r w:rsidRPr="00F626B6">
        <w:t xml:space="preserve"> are essential for </w:t>
      </w:r>
      <w:r w:rsidRPr="00F626B6">
        <w:rPr>
          <w:i/>
          <w:iCs/>
        </w:rPr>
        <w:t>aerobic</w:t>
      </w:r>
      <w:r w:rsidRPr="00F626B6">
        <w:t xml:space="preserve"> energy needs during sustained exercise (primarily - </w:t>
      </w:r>
      <w:r w:rsidRPr="00F626B6">
        <w:rPr>
          <w:b/>
          <w:bCs/>
        </w:rPr>
        <w:t xml:space="preserve">serum </w:t>
      </w:r>
      <w:r w:rsidRPr="00F626B6">
        <w:rPr>
          <w:b/>
          <w:bCs/>
          <w:smallCaps/>
        </w:rPr>
        <w:t xml:space="preserve">long-chain fatty acids </w:t>
      </w:r>
      <w:r w:rsidRPr="00F626B6">
        <w:t>→ β-oxidation in mitochondria).</w:t>
      </w:r>
    </w:p>
    <w:p w:rsidR="00B25AA7" w:rsidRPr="00F626B6" w:rsidRDefault="00B25AA7">
      <w:pPr>
        <w:pStyle w:val="NormalWeb"/>
      </w:pPr>
    </w:p>
    <w:p w:rsidR="00B25AA7" w:rsidRPr="00F626B6" w:rsidRDefault="00B25AA7">
      <w:pPr>
        <w:pStyle w:val="NormalWeb"/>
        <w:numPr>
          <w:ilvl w:val="0"/>
          <w:numId w:val="1"/>
        </w:numPr>
      </w:pPr>
      <w:r w:rsidRPr="00F626B6">
        <w:rPr>
          <w:b/>
          <w:bCs/>
          <w:smallCaps/>
          <w:u w:val="single"/>
        </w:rPr>
        <w:t>dynamic</w:t>
      </w:r>
      <w:r w:rsidRPr="00F626B6">
        <w:rPr>
          <w:b/>
          <w:bCs/>
          <w:u w:val="single"/>
        </w:rPr>
        <w:t xml:space="preserve"> (exercise-induced) myopathies</w:t>
      </w:r>
      <w:r w:rsidRPr="00F626B6">
        <w:t xml:space="preserve"> - symptoms (acute myalgias, stiffness → contractures, </w:t>
      </w:r>
      <w:r w:rsidRPr="00F626B6">
        <w:rPr>
          <w:szCs w:val="20"/>
        </w:rPr>
        <w:t xml:space="preserve">intermittent </w:t>
      </w:r>
      <w:r w:rsidRPr="00F626B6">
        <w:t>weakness → myoglobinuria*) appear during / after exercise:</w:t>
      </w:r>
    </w:p>
    <w:p w:rsidR="00B25AA7" w:rsidRPr="00F626B6" w:rsidRDefault="00B25AA7">
      <w:pPr>
        <w:pStyle w:val="NormalWeb"/>
        <w:ind w:left="2160"/>
        <w:jc w:val="right"/>
      </w:pPr>
      <w:r w:rsidRPr="00F626B6">
        <w:rPr>
          <w:szCs w:val="20"/>
        </w:rPr>
        <w:t>*</w:t>
      </w:r>
      <w:r w:rsidRPr="00F626B6">
        <w:t xml:space="preserve"> drink fluids after exercise!</w:t>
      </w:r>
    </w:p>
    <w:p w:rsidR="00B25AA7" w:rsidRPr="00F626B6" w:rsidRDefault="00B25AA7" w:rsidP="00B25AA7">
      <w:pPr>
        <w:pStyle w:val="NormalWeb"/>
        <w:numPr>
          <w:ilvl w:val="1"/>
          <w:numId w:val="1"/>
        </w:numPr>
        <w:tabs>
          <w:tab w:val="clear" w:pos="1080"/>
          <w:tab w:val="num" w:pos="1420"/>
        </w:tabs>
        <w:ind w:left="1400"/>
      </w:pPr>
      <w:r w:rsidRPr="00F626B6">
        <w:rPr>
          <w:b/>
          <w:bCs/>
          <w:color w:val="0000FF"/>
        </w:rPr>
        <w:t>carbohydrate</w:t>
      </w:r>
      <w:r w:rsidRPr="00F626B6">
        <w:rPr>
          <w:b/>
          <w:bCs/>
        </w:rPr>
        <w:t xml:space="preserve"> metabolism disorders</w:t>
      </w:r>
      <w:r w:rsidRPr="00F626B6">
        <w:t xml:space="preserve"> - </w:t>
      </w:r>
      <w:r w:rsidRPr="00F626B6">
        <w:rPr>
          <w:color w:val="FF0000"/>
        </w:rPr>
        <w:t>type V</w:t>
      </w:r>
      <w:r w:rsidRPr="00F626B6">
        <w:t xml:space="preserve"> (most common), </w:t>
      </w:r>
      <w:r w:rsidRPr="00F626B6">
        <w:rPr>
          <w:color w:val="FF0000"/>
        </w:rPr>
        <w:t>type VII-XI glycogenoses</w:t>
      </w:r>
      <w:r w:rsidRPr="00F626B6">
        <w:t xml:space="preserve">, </w:t>
      </w:r>
      <w:r w:rsidRPr="00F626B6">
        <w:rPr>
          <w:color w:val="FF0000"/>
        </w:rPr>
        <w:t>Satoyoshi disease</w:t>
      </w:r>
      <w:r w:rsidR="003F2AA6">
        <w:t>;</w:t>
      </w:r>
      <w:r w:rsidR="003F2AA6">
        <w:tab/>
      </w:r>
      <w:hyperlink r:id="rId7" w:history="1">
        <w:r w:rsidR="003F2AA6" w:rsidRPr="003F2AA6">
          <w:rPr>
            <w:rStyle w:val="Hyperlink"/>
          </w:rPr>
          <w:t xml:space="preserve">see p. </w:t>
        </w:r>
        <w:r w:rsidRPr="003F2AA6">
          <w:rPr>
            <w:rStyle w:val="Hyperlink"/>
          </w:rPr>
          <w:t>734-738</w:t>
        </w:r>
        <w:r w:rsidR="003F2AA6" w:rsidRPr="003F2AA6">
          <w:rPr>
            <w:rStyle w:val="Hyperlink"/>
          </w:rPr>
          <w:t xml:space="preserve"> &gt;&gt;</w:t>
        </w:r>
      </w:hyperlink>
    </w:p>
    <w:p w:rsidR="00B25AA7" w:rsidRPr="00F626B6" w:rsidRDefault="00B25AA7">
      <w:pPr>
        <w:pStyle w:val="NormalWeb"/>
        <w:numPr>
          <w:ilvl w:val="0"/>
          <w:numId w:val="9"/>
        </w:numPr>
      </w:pPr>
      <w:r w:rsidRPr="00F626B6">
        <w:rPr>
          <w:i/>
          <w:iCs/>
          <w:szCs w:val="20"/>
        </w:rPr>
        <w:t>hemolytic anemia</w:t>
      </w:r>
      <w:r w:rsidRPr="00F626B6">
        <w:rPr>
          <w:szCs w:val="20"/>
        </w:rPr>
        <w:t xml:space="preserve"> accompanies only type VII (mild) and type IX (severe).</w:t>
      </w:r>
    </w:p>
    <w:p w:rsidR="00B25AA7" w:rsidRPr="00F626B6" w:rsidRDefault="00B25AA7" w:rsidP="00B25AA7">
      <w:pPr>
        <w:pStyle w:val="NormalWeb"/>
        <w:numPr>
          <w:ilvl w:val="1"/>
          <w:numId w:val="1"/>
        </w:numPr>
        <w:tabs>
          <w:tab w:val="clear" w:pos="1080"/>
          <w:tab w:val="num" w:pos="1420"/>
        </w:tabs>
        <w:spacing w:before="120"/>
        <w:ind w:left="1400"/>
      </w:pPr>
      <w:r w:rsidRPr="00F626B6">
        <w:rPr>
          <w:b/>
          <w:bCs/>
          <w:color w:val="0000FF"/>
        </w:rPr>
        <w:t>lipid</w:t>
      </w:r>
      <w:r w:rsidRPr="00F626B6">
        <w:rPr>
          <w:b/>
          <w:bCs/>
        </w:rPr>
        <w:t xml:space="preserve"> metabolism disorders</w:t>
      </w:r>
      <w:r w:rsidRPr="00F626B6">
        <w:t xml:space="preserve"> - </w:t>
      </w:r>
      <w:r w:rsidRPr="00F626B6">
        <w:rPr>
          <w:color w:val="FF0000"/>
        </w:rPr>
        <w:t>carnitine palmitoyl transferase deficiencies</w:t>
      </w:r>
    </w:p>
    <w:p w:rsidR="00B25AA7" w:rsidRPr="003F2AA6" w:rsidRDefault="004A3ED0" w:rsidP="003F2AA6">
      <w:pPr>
        <w:pStyle w:val="NormalWeb"/>
        <w:ind w:left="6480"/>
        <w:jc w:val="right"/>
      </w:pPr>
      <w:hyperlink r:id="rId8" w:history="1">
        <w:r w:rsidR="003F2AA6" w:rsidRPr="003F2AA6">
          <w:rPr>
            <w:rStyle w:val="Hyperlink"/>
          </w:rPr>
          <w:t xml:space="preserve">see p. </w:t>
        </w:r>
        <w:r w:rsidR="003F2AA6">
          <w:rPr>
            <w:rStyle w:val="Hyperlink"/>
          </w:rPr>
          <w:t>750</w:t>
        </w:r>
        <w:r w:rsidR="003F2AA6" w:rsidRPr="003F2AA6">
          <w:rPr>
            <w:rStyle w:val="Hyperlink"/>
          </w:rPr>
          <w:t xml:space="preserve"> &gt;&gt;</w:t>
        </w:r>
      </w:hyperlink>
    </w:p>
    <w:p w:rsidR="00B25AA7" w:rsidRPr="00F626B6" w:rsidRDefault="00B25AA7" w:rsidP="00B25AA7">
      <w:pPr>
        <w:pStyle w:val="NormalWeb"/>
        <w:numPr>
          <w:ilvl w:val="1"/>
          <w:numId w:val="1"/>
        </w:numPr>
        <w:tabs>
          <w:tab w:val="clear" w:pos="1080"/>
          <w:tab w:val="num" w:pos="1420"/>
        </w:tabs>
        <w:spacing w:before="120"/>
        <w:ind w:left="1400"/>
      </w:pPr>
      <w:r w:rsidRPr="00F626B6">
        <w:rPr>
          <w:b/>
          <w:bCs/>
          <w:color w:val="0000FF"/>
        </w:rPr>
        <w:t>purine</w:t>
      </w:r>
      <w:r w:rsidRPr="00F626B6">
        <w:rPr>
          <w:b/>
          <w:bCs/>
        </w:rPr>
        <w:t xml:space="preserve"> metabolism disorders </w:t>
      </w:r>
      <w:r w:rsidRPr="00F626B6">
        <w:t xml:space="preserve">- </w:t>
      </w:r>
      <w:r w:rsidRPr="00F626B6">
        <w:rPr>
          <w:color w:val="FF0000"/>
        </w:rPr>
        <w:t>myoadenylate deaminase deficiency</w:t>
      </w:r>
      <w:r w:rsidRPr="00F626B6">
        <w:rPr>
          <w:color w:val="808080"/>
          <w:sz w:val="20"/>
        </w:rPr>
        <w:t xml:space="preserve">    </w:t>
      </w:r>
      <w:hyperlink w:anchor="MYOADENYLATE_DEAMINASE_DEFICIENCY" w:history="1">
        <w:r w:rsidRPr="003F2AA6">
          <w:rPr>
            <w:rStyle w:val="Hyperlink"/>
            <w:i/>
          </w:rPr>
          <w:t>see below</w:t>
        </w:r>
        <w:r w:rsidR="003F2AA6" w:rsidRPr="003F2AA6">
          <w:rPr>
            <w:rStyle w:val="Hyperlink"/>
            <w:i/>
          </w:rPr>
          <w:t xml:space="preserve"> </w:t>
        </w:r>
        <w:r w:rsidR="003F2AA6" w:rsidRPr="003F2AA6">
          <w:rPr>
            <w:rStyle w:val="Hyperlink"/>
          </w:rPr>
          <w:t>&gt;&gt;</w:t>
        </w:r>
      </w:hyperlink>
    </w:p>
    <w:p w:rsidR="00B25AA7" w:rsidRPr="00F626B6" w:rsidRDefault="00B25AA7" w:rsidP="00B25AA7">
      <w:pPr>
        <w:pStyle w:val="NormalWeb"/>
        <w:numPr>
          <w:ilvl w:val="1"/>
          <w:numId w:val="1"/>
        </w:numPr>
        <w:tabs>
          <w:tab w:val="clear" w:pos="1080"/>
          <w:tab w:val="num" w:pos="1420"/>
        </w:tabs>
        <w:spacing w:before="120" w:after="120"/>
        <w:ind w:left="1400"/>
      </w:pPr>
      <w:r w:rsidRPr="00F626B6">
        <w:rPr>
          <w:b/>
          <w:bCs/>
          <w:color w:val="0000FF"/>
        </w:rPr>
        <w:t>mitochondrial</w:t>
      </w:r>
      <w:r w:rsidRPr="00F626B6">
        <w:rPr>
          <w:b/>
          <w:bCs/>
        </w:rPr>
        <w:t xml:space="preserve"> myopathies </w:t>
      </w:r>
      <w:r w:rsidRPr="00F626B6">
        <w:t xml:space="preserve">- </w:t>
      </w:r>
      <w:r w:rsidRPr="00F626B6">
        <w:rPr>
          <w:color w:val="FF0000"/>
        </w:rPr>
        <w:t>succinate dehydrogenase deficiency</w:t>
      </w:r>
    </w:p>
    <w:p w:rsidR="00B25AA7" w:rsidRPr="00F626B6" w:rsidRDefault="00B25AA7" w:rsidP="00B25AA7">
      <w:pPr>
        <w:pStyle w:val="NormalWeb"/>
        <w:numPr>
          <w:ilvl w:val="0"/>
          <w:numId w:val="5"/>
        </w:numPr>
        <w:tabs>
          <w:tab w:val="clear" w:pos="360"/>
          <w:tab w:val="num" w:pos="700"/>
        </w:tabs>
        <w:ind w:left="680" w:right="-1"/>
      </w:pPr>
      <w:r w:rsidRPr="00F626B6">
        <w:rPr>
          <w:i/>
          <w:iCs/>
        </w:rPr>
        <w:t>exercise intolerance</w:t>
      </w:r>
      <w:r w:rsidRPr="00F626B6">
        <w:t xml:space="preserve"> in childhood;</w:t>
      </w:r>
    </w:p>
    <w:p w:rsidR="00B25AA7" w:rsidRPr="00F626B6" w:rsidRDefault="00B25AA7">
      <w:pPr>
        <w:pStyle w:val="NormalWeb"/>
        <w:ind w:left="680" w:right="-1"/>
      </w:pPr>
      <w:r w:rsidRPr="00F626B6">
        <w:rPr>
          <w:i/>
          <w:iCs/>
        </w:rPr>
        <w:t>exertion-induced symptoms</w:t>
      </w:r>
      <w:r w:rsidRPr="00F626B6">
        <w:t xml:space="preserve"> (muscle pain, weakness, myoglobinuria) in 2-3</w:t>
      </w:r>
      <w:r w:rsidRPr="00F626B6">
        <w:rPr>
          <w:vertAlign w:val="superscript"/>
        </w:rPr>
        <w:t>rd</w:t>
      </w:r>
      <w:r w:rsidRPr="00F626B6">
        <w:t xml:space="preserve"> decade.</w:t>
      </w:r>
    </w:p>
    <w:p w:rsidR="00B25AA7" w:rsidRPr="00F626B6" w:rsidRDefault="00B25AA7">
      <w:pPr>
        <w:pStyle w:val="NormalWeb"/>
        <w:numPr>
          <w:ilvl w:val="2"/>
          <w:numId w:val="6"/>
        </w:numPr>
        <w:rPr>
          <w:szCs w:val="20"/>
        </w:rPr>
      </w:pPr>
      <w:r w:rsidRPr="00F626B6">
        <w:rPr>
          <w:b/>
          <w:bCs/>
          <w:i/>
          <w:iCs/>
          <w:color w:val="0000FF"/>
        </w:rPr>
        <w:t>contractures</w:t>
      </w:r>
      <w:r w:rsidRPr="00F626B6">
        <w:t xml:space="preserve"> cause intense muscle pain, are electrically silent and not associated with ATP depletion.</w:t>
      </w:r>
    </w:p>
    <w:p w:rsidR="00B25AA7" w:rsidRPr="00F626B6" w:rsidRDefault="00B25AA7">
      <w:pPr>
        <w:pStyle w:val="NormalWeb"/>
        <w:numPr>
          <w:ilvl w:val="2"/>
          <w:numId w:val="6"/>
        </w:numPr>
      </w:pPr>
      <w:r w:rsidRPr="00F626B6">
        <w:rPr>
          <w:szCs w:val="20"/>
        </w:rPr>
        <w:t xml:space="preserve">exercise tolerance can be enhanced by slow induction phase (warm-up) or brief rest periods allowing for start of </w:t>
      </w:r>
      <w:r w:rsidRPr="00F626B6">
        <w:rPr>
          <w:i/>
          <w:iCs/>
          <w:color w:val="0000FF"/>
          <w:szCs w:val="20"/>
        </w:rPr>
        <w:t>"second-wind" phenomenon</w:t>
      </w:r>
      <w:r w:rsidRPr="00F626B6">
        <w:rPr>
          <w:szCs w:val="20"/>
        </w:rPr>
        <w:t xml:space="preserve"> (i.e. </w:t>
      </w:r>
      <w:r w:rsidRPr="00F626B6">
        <w:t xml:space="preserve">patient can continue exercise at previous level of activity after brief rest - </w:t>
      </w:r>
      <w:r w:rsidRPr="00F626B6">
        <w:rPr>
          <w:szCs w:val="20"/>
        </w:rPr>
        <w:t>switching to utilization of fatty acids).</w:t>
      </w:r>
    </w:p>
    <w:p w:rsidR="00B25AA7" w:rsidRPr="00F626B6" w:rsidRDefault="00B25AA7" w:rsidP="00B25AA7">
      <w:pPr>
        <w:pStyle w:val="NormalWeb"/>
        <w:numPr>
          <w:ilvl w:val="0"/>
          <w:numId w:val="5"/>
        </w:numPr>
        <w:tabs>
          <w:tab w:val="clear" w:pos="360"/>
          <w:tab w:val="num" w:pos="700"/>
        </w:tabs>
        <w:ind w:left="680"/>
      </w:pPr>
      <w:r w:rsidRPr="00F626B6">
        <w:rPr>
          <w:u w:val="single"/>
        </w:rPr>
        <w:t>between attacks</w:t>
      </w:r>
      <w:r w:rsidRPr="00F626B6">
        <w:t>, muscle strength, diagnostic test results are normal (may become abnormal with advancing age).</w:t>
      </w:r>
    </w:p>
    <w:p w:rsidR="00B25AA7" w:rsidRPr="00F626B6" w:rsidRDefault="00B25AA7">
      <w:pPr>
        <w:pStyle w:val="NormalWeb"/>
      </w:pPr>
    </w:p>
    <w:p w:rsidR="00B25AA7" w:rsidRPr="00F626B6" w:rsidRDefault="00B25AA7">
      <w:pPr>
        <w:pStyle w:val="NormalWeb"/>
        <w:numPr>
          <w:ilvl w:val="0"/>
          <w:numId w:val="1"/>
        </w:numPr>
      </w:pPr>
      <w:r w:rsidRPr="00F626B6">
        <w:rPr>
          <w:b/>
          <w:bCs/>
          <w:smallCaps/>
          <w:u w:val="single"/>
        </w:rPr>
        <w:t>static</w:t>
      </w:r>
      <w:r w:rsidRPr="00F626B6">
        <w:rPr>
          <w:b/>
          <w:bCs/>
          <w:u w:val="single"/>
        </w:rPr>
        <w:t xml:space="preserve"> (stable or slowly progressive) myopathies</w:t>
      </w:r>
      <w:r w:rsidRPr="00F626B6">
        <w:t xml:space="preserve"> - </w:t>
      </w:r>
      <w:r w:rsidRPr="00F626B6">
        <w:rPr>
          <w:szCs w:val="20"/>
        </w:rPr>
        <w:t>chronic fixed progressive weakness (simulates muscular dystrophy;</w:t>
      </w:r>
      <w:r w:rsidRPr="00F626B6">
        <w:t xml:space="preserve"> no exercise intolerance, no myoglobinuria</w:t>
      </w:r>
      <w:r w:rsidRPr="00F626B6">
        <w:rPr>
          <w:szCs w:val="20"/>
        </w:rPr>
        <w:t>):</w:t>
      </w:r>
    </w:p>
    <w:p w:rsidR="00B25AA7" w:rsidRPr="003F2AA6" w:rsidRDefault="00B25AA7" w:rsidP="003F2AA6">
      <w:pPr>
        <w:pStyle w:val="NormalWeb"/>
        <w:numPr>
          <w:ilvl w:val="1"/>
          <w:numId w:val="1"/>
        </w:numPr>
        <w:spacing w:before="120"/>
      </w:pPr>
      <w:r w:rsidRPr="00F626B6">
        <w:rPr>
          <w:b/>
          <w:bCs/>
          <w:color w:val="0000FF"/>
        </w:rPr>
        <w:t>carbohydrate</w:t>
      </w:r>
      <w:r w:rsidRPr="00F626B6">
        <w:rPr>
          <w:b/>
          <w:bCs/>
        </w:rPr>
        <w:t xml:space="preserve"> metabolism disorders</w:t>
      </w:r>
      <w:r w:rsidRPr="00F626B6">
        <w:t xml:space="preserve"> - </w:t>
      </w:r>
      <w:r w:rsidRPr="00F626B6">
        <w:rPr>
          <w:color w:val="FF0000"/>
        </w:rPr>
        <w:t>type II-IV glycogenoses</w:t>
      </w:r>
      <w:r w:rsidRPr="00F626B6">
        <w:t>.</w:t>
      </w:r>
      <w:r w:rsidR="003F2AA6">
        <w:t xml:space="preserve">  </w:t>
      </w:r>
      <w:hyperlink r:id="rId9" w:history="1">
        <w:r w:rsidR="003F2AA6" w:rsidRPr="003F2AA6">
          <w:rPr>
            <w:rStyle w:val="Hyperlink"/>
          </w:rPr>
          <w:t>see p. 734-738 &gt;&gt;</w:t>
        </w:r>
      </w:hyperlink>
    </w:p>
    <w:p w:rsidR="00B25AA7" w:rsidRPr="00F626B6" w:rsidRDefault="00B25AA7">
      <w:pPr>
        <w:pStyle w:val="NormalWeb"/>
        <w:numPr>
          <w:ilvl w:val="1"/>
          <w:numId w:val="1"/>
        </w:numPr>
        <w:spacing w:before="120"/>
      </w:pPr>
      <w:r w:rsidRPr="00F626B6">
        <w:rPr>
          <w:b/>
          <w:bCs/>
          <w:color w:val="0000FF"/>
        </w:rPr>
        <w:t>lipid</w:t>
      </w:r>
      <w:r w:rsidRPr="00F626B6">
        <w:rPr>
          <w:b/>
          <w:bCs/>
        </w:rPr>
        <w:t xml:space="preserve"> metabolism disorders</w:t>
      </w:r>
      <w:r w:rsidRPr="00F626B6">
        <w:t xml:space="preserve"> - </w:t>
      </w:r>
      <w:r w:rsidRPr="00F626B6">
        <w:rPr>
          <w:color w:val="FF0000"/>
        </w:rPr>
        <w:t>carnitine deficiencies</w:t>
      </w:r>
      <w:r w:rsidR="003F2AA6">
        <w:t xml:space="preserve">:  </w:t>
      </w:r>
      <w:hyperlink r:id="rId10" w:history="1">
        <w:r w:rsidR="003F2AA6" w:rsidRPr="003F2AA6">
          <w:rPr>
            <w:rStyle w:val="Hyperlink"/>
          </w:rPr>
          <w:t xml:space="preserve">see p. </w:t>
        </w:r>
        <w:r w:rsidR="003F2AA6">
          <w:rPr>
            <w:rStyle w:val="Hyperlink"/>
          </w:rPr>
          <w:t>750</w:t>
        </w:r>
        <w:r w:rsidR="003F2AA6" w:rsidRPr="003F2AA6">
          <w:rPr>
            <w:rStyle w:val="Hyperlink"/>
          </w:rPr>
          <w:t xml:space="preserve"> &gt;&gt;</w:t>
        </w:r>
      </w:hyperlink>
    </w:p>
    <w:p w:rsidR="00B25AA7" w:rsidRPr="00F626B6" w:rsidRDefault="00B25AA7">
      <w:pPr>
        <w:pStyle w:val="NormalWeb"/>
        <w:numPr>
          <w:ilvl w:val="2"/>
          <w:numId w:val="1"/>
        </w:numPr>
      </w:pPr>
      <w:r w:rsidRPr="00F626B6">
        <w:t>primary (muscle / systemic)</w:t>
      </w:r>
    </w:p>
    <w:p w:rsidR="00B25AA7" w:rsidRPr="00F626B6" w:rsidRDefault="00B25AA7">
      <w:pPr>
        <w:pStyle w:val="NormalWeb"/>
        <w:numPr>
          <w:ilvl w:val="2"/>
          <w:numId w:val="1"/>
        </w:numPr>
      </w:pPr>
      <w:r w:rsidRPr="00F626B6">
        <w:t>secondary (β-oxidation defects, valproic acid)</w:t>
      </w:r>
    </w:p>
    <w:p w:rsidR="00B25AA7" w:rsidRPr="00F626B6" w:rsidRDefault="00B25AA7">
      <w:pPr>
        <w:pStyle w:val="NormalWeb"/>
        <w:numPr>
          <w:ilvl w:val="1"/>
          <w:numId w:val="1"/>
        </w:numPr>
        <w:spacing w:before="120"/>
        <w:rPr>
          <w:b/>
          <w:bCs/>
        </w:rPr>
      </w:pPr>
      <w:r w:rsidRPr="00F626B6">
        <w:rPr>
          <w:b/>
          <w:bCs/>
          <w:color w:val="0000FF"/>
        </w:rPr>
        <w:t>mitochondrial</w:t>
      </w:r>
      <w:r w:rsidRPr="00F626B6">
        <w:rPr>
          <w:b/>
          <w:bCs/>
        </w:rPr>
        <w:t xml:space="preserve"> myopathies</w:t>
      </w:r>
      <w:r w:rsidRPr="00F626B6">
        <w:t xml:space="preserve"> (most)</w:t>
      </w:r>
    </w:p>
    <w:p w:rsidR="00B25AA7" w:rsidRPr="00F626B6" w:rsidRDefault="00B25AA7">
      <w:pPr>
        <w:pStyle w:val="NormalWeb"/>
      </w:pPr>
    </w:p>
    <w:p w:rsidR="00B25AA7" w:rsidRPr="00F626B6" w:rsidRDefault="00B25AA7">
      <w:pPr>
        <w:pStyle w:val="NormalWeb"/>
      </w:pPr>
      <w:r w:rsidRPr="00F626B6">
        <w:t>N.B. type I and VI glycogenoses do not affect muscles!</w:t>
      </w:r>
    </w:p>
    <w:p w:rsidR="00B25AA7" w:rsidRPr="00F626B6" w:rsidRDefault="00B25AA7">
      <w:pPr>
        <w:pStyle w:val="NormalWeb"/>
      </w:pPr>
    </w:p>
    <w:p w:rsidR="00B25AA7" w:rsidRPr="00F626B6" w:rsidRDefault="00B25AA7">
      <w:pPr>
        <w:pStyle w:val="NormalWeb"/>
      </w:pPr>
    </w:p>
    <w:p w:rsidR="00B25AA7" w:rsidRPr="00F626B6" w:rsidRDefault="00B25AA7" w:rsidP="003F2AA6">
      <w:pPr>
        <w:pStyle w:val="Nervous5"/>
      </w:pPr>
      <w:r w:rsidRPr="00F626B6">
        <w:t>Diagnosis</w:t>
      </w:r>
    </w:p>
    <w:p w:rsidR="00B25AA7" w:rsidRPr="00F626B6" w:rsidRDefault="00B25AA7">
      <w:pPr>
        <w:pStyle w:val="NormalWeb"/>
        <w:numPr>
          <w:ilvl w:val="0"/>
          <w:numId w:val="2"/>
        </w:numPr>
      </w:pPr>
      <w:r w:rsidRPr="00F626B6">
        <w:rPr>
          <w:b/>
          <w:bCs/>
          <w:color w:val="0000FF"/>
          <w:u w:val="single"/>
        </w:rPr>
        <w:t>Forearm (grip) exercise</w:t>
      </w:r>
      <w:r w:rsidRPr="00F626B6">
        <w:t xml:space="preserve"> - information about </w:t>
      </w:r>
      <w:r w:rsidRPr="00F626B6">
        <w:rPr>
          <w:u w:val="double" w:color="FF0000"/>
        </w:rPr>
        <w:t>glycolytic (anaerobic) metabolism</w:t>
      </w:r>
      <w:r w:rsidRPr="00F626B6">
        <w:t xml:space="preserve"> by evaluating </w:t>
      </w:r>
      <w:r w:rsidRPr="00F626B6">
        <w:rPr>
          <w:i/>
          <w:iCs/>
        </w:rPr>
        <w:t>lactate</w:t>
      </w:r>
      <w:r w:rsidRPr="00F626B6">
        <w:t xml:space="preserve"> production in </w:t>
      </w:r>
      <w:r w:rsidRPr="00F626B6">
        <w:rPr>
          <w:b/>
          <w:bCs/>
        </w:rPr>
        <w:t>ischemic exercise</w:t>
      </w:r>
      <w:r w:rsidRPr="00F626B6">
        <w:t>:</w:t>
      </w:r>
    </w:p>
    <w:p w:rsidR="00B25AA7" w:rsidRPr="00F626B6" w:rsidRDefault="00B25AA7">
      <w:pPr>
        <w:pStyle w:val="NormalWeb"/>
        <w:numPr>
          <w:ilvl w:val="0"/>
          <w:numId w:val="3"/>
        </w:numPr>
      </w:pPr>
      <w:r w:rsidRPr="00F626B6">
        <w:t xml:space="preserve">rested, rested and fasting patient </w:t>
      </w:r>
      <w:r w:rsidRPr="00F626B6">
        <w:rPr>
          <w:b/>
          <w:bCs/>
          <w:i/>
          <w:iCs/>
        </w:rPr>
        <w:t>repetitively squeezes handheld ergometer</w:t>
      </w:r>
      <w:r w:rsidRPr="00F626B6">
        <w:t xml:space="preserve"> while BP cuff is maintained above systolic pressure (induced ischemia prevents oxidative phosphorylation).</w:t>
      </w:r>
    </w:p>
    <w:p w:rsidR="00B25AA7" w:rsidRPr="00F626B6" w:rsidRDefault="00B25AA7">
      <w:pPr>
        <w:pStyle w:val="NormalWeb"/>
        <w:numPr>
          <w:ilvl w:val="1"/>
          <w:numId w:val="2"/>
        </w:numPr>
      </w:pPr>
      <w:r w:rsidRPr="00F626B6">
        <w:t>workload 4-7 kg-m at 60 Hz for 1 min (such duration does not induce ischemic pain).</w:t>
      </w:r>
    </w:p>
    <w:p w:rsidR="00B25AA7" w:rsidRPr="00F626B6" w:rsidRDefault="00B25AA7">
      <w:pPr>
        <w:pStyle w:val="NormalWeb"/>
        <w:numPr>
          <w:ilvl w:val="1"/>
          <w:numId w:val="2"/>
        </w:numPr>
      </w:pPr>
      <w:r w:rsidRPr="00F626B6">
        <w:t>sustain 1.5-second contractions separated by 0.5-second rest periods for 1 minute.</w:t>
      </w:r>
    </w:p>
    <w:p w:rsidR="00B25AA7" w:rsidRPr="00F626B6" w:rsidRDefault="00B25AA7">
      <w:pPr>
        <w:pStyle w:val="NormalWeb"/>
        <w:numPr>
          <w:ilvl w:val="1"/>
          <w:numId w:val="2"/>
        </w:numPr>
      </w:pPr>
      <w:r w:rsidRPr="00F626B6">
        <w:t>squeeze to 50% of maximum grip strength until exhaustion (usually ≈ 10 minutes).</w:t>
      </w:r>
    </w:p>
    <w:p w:rsidR="00B25AA7" w:rsidRPr="00F626B6" w:rsidRDefault="00B25AA7">
      <w:pPr>
        <w:pStyle w:val="NormalWeb"/>
        <w:numPr>
          <w:ilvl w:val="0"/>
          <w:numId w:val="3"/>
        </w:numPr>
      </w:pPr>
      <w:r w:rsidRPr="00F626B6">
        <w:rPr>
          <w:b/>
          <w:bCs/>
        </w:rPr>
        <w:t>nonischemic workload</w:t>
      </w:r>
      <w:r w:rsidRPr="00F626B6">
        <w:t xml:space="preserve"> &gt; 6-7 kg-m (well exceeds aerobic threshold) also produces comparable results and </w:t>
      </w:r>
      <w:r w:rsidRPr="00F626B6">
        <w:rPr>
          <w:i/>
          <w:iCs/>
          <w:color w:val="008000"/>
        </w:rPr>
        <w:t>avoids induced ischemia</w:t>
      </w:r>
      <w:r w:rsidRPr="00F626B6">
        <w:t xml:space="preserve"> (may cause severe muscle necrosis in glycolytic defects).</w:t>
      </w:r>
    </w:p>
    <w:p w:rsidR="00B25AA7" w:rsidRPr="00F626B6" w:rsidRDefault="00B25AA7">
      <w:pPr>
        <w:pStyle w:val="NormalWeb"/>
        <w:numPr>
          <w:ilvl w:val="0"/>
          <w:numId w:val="3"/>
        </w:numPr>
      </w:pPr>
      <w:r w:rsidRPr="00F626B6">
        <w:rPr>
          <w:u w:val="single"/>
        </w:rPr>
        <w:t>venous [lactate] and [ammonia]</w:t>
      </w:r>
      <w:r w:rsidRPr="00F626B6">
        <w:t xml:space="preserve"> are determined from antecubital vein proximal to deep veins of forearm (e.g. median vein):</w:t>
      </w:r>
    </w:p>
    <w:p w:rsidR="00B25AA7" w:rsidRPr="00F626B6" w:rsidRDefault="00B25AA7">
      <w:pPr>
        <w:pStyle w:val="NormalWeb"/>
        <w:numPr>
          <w:ilvl w:val="0"/>
          <w:numId w:val="4"/>
        </w:numPr>
      </w:pPr>
      <w:r w:rsidRPr="00F626B6">
        <w:t>pre-exercise;</w:t>
      </w:r>
    </w:p>
    <w:p w:rsidR="00B25AA7" w:rsidRPr="00F626B6" w:rsidRDefault="00B25AA7">
      <w:pPr>
        <w:pStyle w:val="NormalWeb"/>
        <w:numPr>
          <w:ilvl w:val="0"/>
          <w:numId w:val="4"/>
        </w:numPr>
      </w:pPr>
      <w:r w:rsidRPr="00F626B6">
        <w:t>postexercise (1, 2, 4, 6, 10 minutes).</w:t>
      </w:r>
    </w:p>
    <w:p w:rsidR="00B25AA7" w:rsidRPr="00F626B6" w:rsidRDefault="00B25AA7">
      <w:pPr>
        <w:pStyle w:val="NormalWeb"/>
        <w:numPr>
          <w:ilvl w:val="0"/>
          <w:numId w:val="3"/>
        </w:numPr>
      </w:pPr>
      <w:r w:rsidRPr="00F626B6">
        <w:rPr>
          <w:b/>
          <w:bCs/>
          <w:i/>
          <w:iCs/>
          <w:color w:val="008000"/>
        </w:rPr>
        <w:t>normally</w:t>
      </w:r>
      <w:r w:rsidRPr="00F626B6">
        <w:t>: [lactate] rises 3-5-fold within 1-2 minutes after exercise;</w:t>
      </w:r>
    </w:p>
    <w:p w:rsidR="00B25AA7" w:rsidRPr="00F626B6" w:rsidRDefault="00B25AA7">
      <w:pPr>
        <w:pStyle w:val="NormalWeb"/>
        <w:ind w:left="1440"/>
      </w:pPr>
      <w:r w:rsidRPr="00F626B6">
        <w:t xml:space="preserve">     [ammonia] rises 2-10-fold within 2-5 minutes after exercise.</w:t>
      </w:r>
    </w:p>
    <w:p w:rsidR="00B25AA7" w:rsidRPr="00F626B6" w:rsidRDefault="00B25AA7">
      <w:pPr>
        <w:pStyle w:val="NormalWeb"/>
        <w:ind w:left="720"/>
      </w:pPr>
      <w:r w:rsidRPr="00F626B6">
        <w:rPr>
          <w:i/>
          <w:iCs/>
          <w:color w:val="FF0000"/>
        </w:rPr>
        <w:t>glycogenosis</w:t>
      </w:r>
      <w:r w:rsidRPr="00F626B6">
        <w:t xml:space="preserve"> – [lactate] elevation does not occur (or is diminished); muscle develops painful contracture;</w:t>
      </w:r>
    </w:p>
    <w:p w:rsidR="00B25AA7" w:rsidRPr="00F626B6" w:rsidRDefault="00B25AA7">
      <w:pPr>
        <w:pStyle w:val="NormalWeb"/>
        <w:ind w:left="720"/>
      </w:pPr>
      <w:r w:rsidRPr="00F626B6">
        <w:rPr>
          <w:i/>
          <w:iCs/>
          <w:color w:val="FF0000"/>
        </w:rPr>
        <w:t>lipid metabolism disorders</w:t>
      </w:r>
      <w:r w:rsidRPr="00F626B6">
        <w:rPr>
          <w:i/>
          <w:iCs/>
        </w:rPr>
        <w:t xml:space="preserve"> </w:t>
      </w:r>
      <w:r w:rsidRPr="00F626B6">
        <w:t>– normal profile;</w:t>
      </w:r>
    </w:p>
    <w:p w:rsidR="00B25AA7" w:rsidRPr="00F626B6" w:rsidRDefault="00B25AA7">
      <w:pPr>
        <w:pStyle w:val="NormalWeb"/>
        <w:ind w:left="720"/>
      </w:pPr>
      <w:r w:rsidRPr="00F626B6">
        <w:rPr>
          <w:i/>
          <w:iCs/>
          <w:color w:val="FF0000"/>
        </w:rPr>
        <w:t>myoadenylate deaminase deficiency</w:t>
      </w:r>
      <w:r w:rsidRPr="00F626B6">
        <w:t xml:space="preserve"> – [ammonia] elevation does not occur;</w:t>
      </w:r>
    </w:p>
    <w:p w:rsidR="00B25AA7" w:rsidRPr="00F626B6" w:rsidRDefault="00B25AA7">
      <w:pPr>
        <w:pStyle w:val="NormalWeb"/>
        <w:ind w:left="720"/>
      </w:pPr>
      <w:r w:rsidRPr="00F626B6">
        <w:rPr>
          <w:i/>
          <w:iCs/>
          <w:color w:val="FF0000"/>
        </w:rPr>
        <w:t>mitochondrial disorders</w:t>
      </w:r>
      <w:r w:rsidRPr="00F626B6">
        <w:t xml:space="preserve"> – excessive [lactate] elevation;</w:t>
      </w:r>
    </w:p>
    <w:p w:rsidR="00B25AA7" w:rsidRPr="00F626B6" w:rsidRDefault="00B25AA7">
      <w:pPr>
        <w:pStyle w:val="NormalWeb"/>
        <w:ind w:left="720"/>
      </w:pPr>
      <w:r w:rsidRPr="00F626B6">
        <w:rPr>
          <w:i/>
          <w:iCs/>
          <w:color w:val="FF0000"/>
        </w:rPr>
        <w:t>poor effort</w:t>
      </w:r>
      <w:r w:rsidRPr="00F626B6">
        <w:t xml:space="preserve"> – neither [lactate] nor [ammonia] increase.</w:t>
      </w:r>
    </w:p>
    <w:p w:rsidR="00B25AA7" w:rsidRPr="00F626B6" w:rsidRDefault="00B25AA7">
      <w:pPr>
        <w:pStyle w:val="NormalWeb"/>
      </w:pPr>
    </w:p>
    <w:p w:rsidR="00B25AA7" w:rsidRPr="00F626B6" w:rsidRDefault="00B25AA7">
      <w:pPr>
        <w:pStyle w:val="NormalWeb"/>
        <w:numPr>
          <w:ilvl w:val="0"/>
          <w:numId w:val="2"/>
        </w:numPr>
      </w:pPr>
      <w:r w:rsidRPr="00F626B6">
        <w:rPr>
          <w:b/>
          <w:bCs/>
          <w:color w:val="0000FF"/>
          <w:u w:val="single"/>
        </w:rPr>
        <w:t>Incremental bicycle ergometry</w:t>
      </w:r>
      <w:r w:rsidRPr="00F626B6">
        <w:t xml:space="preserve"> - information about </w:t>
      </w:r>
      <w:r w:rsidRPr="00F626B6">
        <w:rPr>
          <w:u w:val="double" w:color="FF0000"/>
        </w:rPr>
        <w:t>aerobic metabolism.</w:t>
      </w:r>
    </w:p>
    <w:p w:rsidR="00B25AA7" w:rsidRPr="00F626B6" w:rsidRDefault="00B25AA7">
      <w:pPr>
        <w:pStyle w:val="NormalWeb"/>
      </w:pPr>
    </w:p>
    <w:p w:rsidR="00B25AA7" w:rsidRPr="00F626B6" w:rsidRDefault="00B25AA7">
      <w:pPr>
        <w:pStyle w:val="NormalWeb"/>
        <w:numPr>
          <w:ilvl w:val="0"/>
          <w:numId w:val="2"/>
        </w:numPr>
      </w:pPr>
      <w:r w:rsidRPr="00F626B6">
        <w:rPr>
          <w:b/>
          <w:bCs/>
          <w:color w:val="0000FF"/>
          <w:szCs w:val="20"/>
          <w:u w:val="single"/>
          <w:vertAlign w:val="superscript"/>
        </w:rPr>
        <w:t>31</w:t>
      </w:r>
      <w:r w:rsidRPr="00F626B6">
        <w:rPr>
          <w:b/>
          <w:bCs/>
          <w:color w:val="0000FF"/>
          <w:u w:val="single"/>
        </w:rPr>
        <w:t>P</w:t>
      </w:r>
      <w:r w:rsidRPr="00F626B6">
        <w:rPr>
          <w:color w:val="0000FF"/>
          <w:u w:val="single"/>
        </w:rPr>
        <w:t xml:space="preserve"> </w:t>
      </w:r>
      <w:r w:rsidRPr="00F626B6">
        <w:rPr>
          <w:b/>
          <w:bCs/>
          <w:color w:val="0000FF"/>
          <w:u w:val="single"/>
        </w:rPr>
        <w:t>MR spectroscopy</w:t>
      </w:r>
      <w:r w:rsidRPr="00F626B6">
        <w:t xml:space="preserve"> - information about </w:t>
      </w:r>
      <w:r w:rsidRPr="00F626B6">
        <w:rPr>
          <w:u w:val="double" w:color="FF0000"/>
        </w:rPr>
        <w:t>intracellular energy metabolites</w:t>
      </w:r>
      <w:r w:rsidRPr="00F626B6">
        <w:t xml:space="preserve"> (i.e. ATP, inorganic phosphate, phosphocreatine).</w:t>
      </w:r>
    </w:p>
    <w:p w:rsidR="00B25AA7" w:rsidRPr="00F626B6" w:rsidRDefault="00B25AA7">
      <w:pPr>
        <w:pStyle w:val="NormalWeb"/>
      </w:pPr>
    </w:p>
    <w:p w:rsidR="00B25AA7" w:rsidRPr="00F626B6" w:rsidRDefault="00B25AA7">
      <w:pPr>
        <w:pStyle w:val="NormalWeb"/>
        <w:numPr>
          <w:ilvl w:val="0"/>
          <w:numId w:val="2"/>
        </w:numPr>
      </w:pPr>
      <w:r w:rsidRPr="00F626B6">
        <w:rPr>
          <w:b/>
          <w:bCs/>
          <w:color w:val="0000FF"/>
          <w:u w:val="single"/>
        </w:rPr>
        <w:t>EMG</w:t>
      </w:r>
      <w:r w:rsidRPr="00F626B6">
        <w:t>:</w:t>
      </w:r>
    </w:p>
    <w:p w:rsidR="00B25AA7" w:rsidRPr="00F626B6" w:rsidRDefault="00B25AA7" w:rsidP="00B25AA7">
      <w:pPr>
        <w:pStyle w:val="NormalWeb"/>
        <w:numPr>
          <w:ilvl w:val="0"/>
          <w:numId w:val="8"/>
        </w:numPr>
        <w:tabs>
          <w:tab w:val="clear" w:pos="360"/>
          <w:tab w:val="num" w:pos="700"/>
        </w:tabs>
        <w:ind w:left="680"/>
      </w:pPr>
      <w:r w:rsidRPr="00F626B6">
        <w:rPr>
          <w:smallCaps/>
        </w:rPr>
        <w:t>dynamic</w:t>
      </w:r>
      <w:r w:rsidRPr="00F626B6">
        <w:t xml:space="preserve"> myopathies:</w:t>
      </w:r>
    </w:p>
    <w:p w:rsidR="00B25AA7" w:rsidRPr="00F626B6" w:rsidRDefault="00B25AA7" w:rsidP="00B25AA7">
      <w:pPr>
        <w:pStyle w:val="NormalWeb"/>
        <w:numPr>
          <w:ilvl w:val="2"/>
          <w:numId w:val="7"/>
        </w:numPr>
        <w:tabs>
          <w:tab w:val="clear" w:pos="1593"/>
          <w:tab w:val="num" w:pos="1933"/>
        </w:tabs>
        <w:ind w:left="1913"/>
      </w:pPr>
      <w:r w:rsidRPr="00F626B6">
        <w:rPr>
          <w:i/>
          <w:iCs/>
        </w:rPr>
        <w:t>during episode</w:t>
      </w:r>
      <w:r w:rsidRPr="00F626B6">
        <w:t xml:space="preserve"> - electrical silence.</w:t>
      </w:r>
    </w:p>
    <w:p w:rsidR="00B25AA7" w:rsidRPr="00F626B6" w:rsidRDefault="00B25AA7" w:rsidP="00B25AA7">
      <w:pPr>
        <w:pStyle w:val="NormalWeb"/>
        <w:numPr>
          <w:ilvl w:val="2"/>
          <w:numId w:val="7"/>
        </w:numPr>
        <w:tabs>
          <w:tab w:val="clear" w:pos="1593"/>
          <w:tab w:val="num" w:pos="1933"/>
        </w:tabs>
        <w:ind w:left="1913"/>
      </w:pPr>
      <w:r w:rsidRPr="00F626B6">
        <w:rPr>
          <w:i/>
          <w:iCs/>
        </w:rPr>
        <w:t>after episodes</w:t>
      </w:r>
      <w:r w:rsidRPr="00F626B6">
        <w:t xml:space="preserve"> of severe myoglobinuria - myopathy and fibrillations.</w:t>
      </w:r>
    </w:p>
    <w:p w:rsidR="00B25AA7" w:rsidRPr="00F626B6" w:rsidRDefault="00B25AA7" w:rsidP="00B25AA7">
      <w:pPr>
        <w:pStyle w:val="NormalWeb"/>
        <w:numPr>
          <w:ilvl w:val="2"/>
          <w:numId w:val="7"/>
        </w:numPr>
        <w:tabs>
          <w:tab w:val="clear" w:pos="1593"/>
          <w:tab w:val="num" w:pos="1933"/>
        </w:tabs>
        <w:ind w:left="1913"/>
      </w:pPr>
      <w:r w:rsidRPr="00F626B6">
        <w:rPr>
          <w:i/>
          <w:iCs/>
        </w:rPr>
        <w:t>between episodes</w:t>
      </w:r>
      <w:r w:rsidRPr="00F626B6">
        <w:t xml:space="preserve"> – normal.</w:t>
      </w:r>
    </w:p>
    <w:p w:rsidR="00B25AA7" w:rsidRPr="00F626B6" w:rsidRDefault="00B25AA7" w:rsidP="00B25AA7">
      <w:pPr>
        <w:pStyle w:val="NormalWeb"/>
        <w:numPr>
          <w:ilvl w:val="0"/>
          <w:numId w:val="8"/>
        </w:numPr>
        <w:tabs>
          <w:tab w:val="clear" w:pos="360"/>
        </w:tabs>
        <w:ind w:left="680"/>
      </w:pPr>
      <w:r w:rsidRPr="00F626B6">
        <w:rPr>
          <w:smallCaps/>
        </w:rPr>
        <w:t>static</w:t>
      </w:r>
      <w:r w:rsidRPr="00F626B6">
        <w:t xml:space="preserve"> myopathies – myopathy, excessive irritability (incl. myotonic discharges, particularly in </w:t>
      </w:r>
      <w:r w:rsidRPr="00F626B6">
        <w:rPr>
          <w:szCs w:val="20"/>
        </w:rPr>
        <w:t xml:space="preserve">lumbosacral </w:t>
      </w:r>
      <w:r w:rsidRPr="00F626B6">
        <w:t>paraspinous muscles in Pompe disease).</w:t>
      </w:r>
    </w:p>
    <w:p w:rsidR="00B25AA7" w:rsidRPr="00F626B6" w:rsidRDefault="00B25AA7">
      <w:pPr>
        <w:pStyle w:val="NormalWeb"/>
      </w:pPr>
    </w:p>
    <w:p w:rsidR="00B25AA7" w:rsidRPr="00F626B6" w:rsidRDefault="00B25AA7">
      <w:pPr>
        <w:pStyle w:val="NormalWeb"/>
        <w:numPr>
          <w:ilvl w:val="0"/>
          <w:numId w:val="2"/>
        </w:numPr>
        <w:rPr>
          <w:b/>
          <w:bCs/>
          <w:color w:val="0000FF"/>
        </w:rPr>
      </w:pPr>
      <w:r w:rsidRPr="00F626B6">
        <w:rPr>
          <w:b/>
          <w:bCs/>
          <w:color w:val="0000FF"/>
          <w:u w:val="single"/>
        </w:rPr>
        <w:t>Muscle biopsy</w:t>
      </w:r>
      <w:r w:rsidRPr="00F626B6">
        <w:t>:</w:t>
      </w:r>
    </w:p>
    <w:p w:rsidR="00B25AA7" w:rsidRPr="00F626B6" w:rsidRDefault="00B25AA7">
      <w:pPr>
        <w:pStyle w:val="NormalWeb"/>
        <w:numPr>
          <w:ilvl w:val="1"/>
          <w:numId w:val="8"/>
        </w:numPr>
      </w:pPr>
      <w:r w:rsidRPr="00F626B6">
        <w:t xml:space="preserve">scattered </w:t>
      </w:r>
      <w:r w:rsidRPr="00F626B6">
        <w:rPr>
          <w:b/>
          <w:bCs/>
          <w:i/>
          <w:iCs/>
        </w:rPr>
        <w:t>necrotic &amp; regenerating fibers</w:t>
      </w:r>
      <w:r w:rsidRPr="00F626B6">
        <w:t xml:space="preserve"> (esp. after rhabdomyolysis episode).</w:t>
      </w:r>
    </w:p>
    <w:p w:rsidR="00B25AA7" w:rsidRPr="00F626B6" w:rsidRDefault="00B25AA7">
      <w:pPr>
        <w:pStyle w:val="NormalWeb"/>
        <w:numPr>
          <w:ilvl w:val="1"/>
          <w:numId w:val="8"/>
        </w:numPr>
      </w:pPr>
      <w:r w:rsidRPr="00F626B6">
        <w:rPr>
          <w:b/>
          <w:bCs/>
          <w:i/>
          <w:iCs/>
        </w:rPr>
        <w:t>specific findings</w:t>
      </w:r>
      <w:r w:rsidRPr="00F626B6">
        <w:t xml:space="preserve"> (e.g. vacuolar glycogen or lipid accumulations).</w:t>
      </w:r>
    </w:p>
    <w:p w:rsidR="00B25AA7" w:rsidRPr="00F626B6" w:rsidRDefault="00B25AA7">
      <w:pPr>
        <w:pStyle w:val="NormalWeb"/>
        <w:numPr>
          <w:ilvl w:val="1"/>
          <w:numId w:val="8"/>
        </w:numPr>
      </w:pPr>
      <w:r w:rsidRPr="00F626B6">
        <w:t xml:space="preserve">specific </w:t>
      </w:r>
      <w:r w:rsidRPr="00F626B6">
        <w:rPr>
          <w:b/>
          <w:bCs/>
          <w:i/>
          <w:iCs/>
        </w:rPr>
        <w:t>enzyme deficiency</w:t>
      </w:r>
      <w:r w:rsidRPr="00F626B6">
        <w:t xml:space="preserve"> (alternatively skin fibroblasts, intestinal mucosa, lymphocytes may be examined) – definitive diagnosis!</w:t>
      </w:r>
    </w:p>
    <w:p w:rsidR="00B25AA7" w:rsidRPr="00F626B6" w:rsidRDefault="00B25AA7">
      <w:pPr>
        <w:pStyle w:val="NormalWeb"/>
      </w:pPr>
    </w:p>
    <w:p w:rsidR="00B25AA7" w:rsidRPr="00F626B6" w:rsidRDefault="00B25AA7">
      <w:pPr>
        <w:pStyle w:val="NormalWeb"/>
        <w:numPr>
          <w:ilvl w:val="0"/>
          <w:numId w:val="2"/>
        </w:numPr>
        <w:rPr>
          <w:b/>
          <w:bCs/>
          <w:color w:val="0000FF"/>
        </w:rPr>
      </w:pPr>
      <w:r w:rsidRPr="00F626B6">
        <w:rPr>
          <w:b/>
          <w:bCs/>
          <w:color w:val="0000FF"/>
          <w:u w:val="single"/>
        </w:rPr>
        <w:t>Serum CK</w:t>
      </w:r>
      <w:r w:rsidRPr="00F626B6">
        <w:t xml:space="preserve"> moderately increased (very increased after attacks* and usually normal between attacks of </w:t>
      </w:r>
      <w:r w:rsidRPr="00F626B6">
        <w:rPr>
          <w:smallCaps/>
        </w:rPr>
        <w:t>dynamic</w:t>
      </w:r>
      <w:r w:rsidRPr="00F626B6">
        <w:t xml:space="preserve"> myopathies).</w:t>
      </w:r>
    </w:p>
    <w:p w:rsidR="00B25AA7" w:rsidRPr="00F626B6" w:rsidRDefault="00B25AA7">
      <w:pPr>
        <w:pStyle w:val="NormalWeb"/>
        <w:jc w:val="right"/>
      </w:pPr>
      <w:r w:rsidRPr="00F626B6">
        <w:t>*together with myoglobinuria</w:t>
      </w:r>
    </w:p>
    <w:p w:rsidR="00B25AA7" w:rsidRPr="00F626B6" w:rsidRDefault="00B25AA7">
      <w:pPr>
        <w:pStyle w:val="NormalWeb"/>
        <w:numPr>
          <w:ilvl w:val="0"/>
          <w:numId w:val="2"/>
        </w:numPr>
        <w:rPr>
          <w:b/>
          <w:bCs/>
          <w:color w:val="0000FF"/>
          <w:u w:val="single"/>
        </w:rPr>
      </w:pPr>
      <w:r w:rsidRPr="00F626B6">
        <w:rPr>
          <w:b/>
          <w:bCs/>
          <w:color w:val="0000FF"/>
          <w:u w:val="single"/>
        </w:rPr>
        <w:t>Genetic analysis for mutations</w:t>
      </w:r>
    </w:p>
    <w:p w:rsidR="00B25AA7" w:rsidRDefault="00B25AA7">
      <w:pPr>
        <w:pStyle w:val="NormalWeb"/>
        <w:rPr>
          <w:b/>
          <w:bCs/>
          <w:color w:val="0000FF"/>
          <w:u w:val="single"/>
        </w:rPr>
      </w:pPr>
    </w:p>
    <w:p w:rsidR="003F2AA6" w:rsidRPr="00F626B6" w:rsidRDefault="003F2AA6">
      <w:pPr>
        <w:pStyle w:val="NormalWeb"/>
        <w:rPr>
          <w:b/>
          <w:bCs/>
          <w:color w:val="0000FF"/>
          <w:u w:val="single"/>
        </w:rPr>
      </w:pPr>
    </w:p>
    <w:p w:rsidR="00B25AA7" w:rsidRPr="00F626B6" w:rsidRDefault="00B25AA7" w:rsidP="003F2AA6">
      <w:pPr>
        <w:pStyle w:val="Nervous1"/>
      </w:pPr>
      <w:bookmarkStart w:id="1" w:name="MYOADENYLATE_DEAMINASE_DEFICIENCY"/>
      <w:r w:rsidRPr="00F626B6">
        <w:t>Myoadenylate Deaminase Deficiency</w:t>
      </w:r>
      <w:bookmarkEnd w:id="1"/>
    </w:p>
    <w:p w:rsidR="00B25AA7" w:rsidRPr="00F626B6" w:rsidRDefault="00B25AA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850"/>
      </w:pPr>
      <w:r w:rsidRPr="00F626B6">
        <w:rPr>
          <w:b/>
          <w:bCs/>
          <w:color w:val="0000FF"/>
        </w:rPr>
        <w:t>Myoadenylate deaminase (s. muscle AMP deaminase)</w:t>
      </w:r>
      <w:r w:rsidRPr="00F626B6">
        <w:t xml:space="preserve"> provides short-term ATP supply by catalyzing conversion of AMP → IMP through removal of ammonia.   </w:t>
      </w:r>
      <w:hyperlink r:id="rId11" w:history="1">
        <w:r w:rsidR="003F2AA6" w:rsidRPr="003F2AA6">
          <w:rPr>
            <w:rStyle w:val="Hyperlink"/>
          </w:rPr>
          <w:t xml:space="preserve">see p. </w:t>
        </w:r>
        <w:r w:rsidRPr="003F2AA6">
          <w:rPr>
            <w:rStyle w:val="Hyperlink"/>
          </w:rPr>
          <w:t>832</w:t>
        </w:r>
        <w:r w:rsidR="003F2AA6" w:rsidRPr="003F2AA6">
          <w:rPr>
            <w:rStyle w:val="Hyperlink"/>
          </w:rPr>
          <w:t xml:space="preserve"> &gt;&gt;</w:t>
        </w:r>
      </w:hyperlink>
    </w:p>
    <w:p w:rsidR="00B25AA7" w:rsidRPr="00F626B6" w:rsidRDefault="00B25AA7">
      <w:pPr>
        <w:pStyle w:val="NormalWeb"/>
        <w:numPr>
          <w:ilvl w:val="0"/>
          <w:numId w:val="11"/>
        </w:numPr>
      </w:pPr>
      <w:r w:rsidRPr="00F626B6">
        <w:t>exertional myalgia ± myoglobinuria (</w:t>
      </w:r>
      <w:r w:rsidRPr="00F626B6">
        <w:rPr>
          <w:b/>
          <w:bCs/>
          <w:smallCaps/>
          <w:color w:val="800080"/>
        </w:rPr>
        <w:t>dynamic</w:t>
      </w:r>
      <w:r w:rsidRPr="00F626B6">
        <w:rPr>
          <w:b/>
          <w:bCs/>
          <w:color w:val="800080"/>
        </w:rPr>
        <w:t xml:space="preserve"> myopathy</w:t>
      </w:r>
      <w:r w:rsidRPr="00F626B6">
        <w:t>)</w:t>
      </w:r>
    </w:p>
    <w:p w:rsidR="00B25AA7" w:rsidRPr="00F626B6" w:rsidRDefault="00B25AA7">
      <w:pPr>
        <w:pStyle w:val="NormalWeb"/>
        <w:numPr>
          <w:ilvl w:val="0"/>
          <w:numId w:val="11"/>
        </w:numPr>
      </w:pPr>
      <w:r w:rsidRPr="00F626B6">
        <w:rPr>
          <w:b/>
          <w:bCs/>
          <w:color w:val="800080"/>
        </w:rPr>
        <w:t>asymptomatic</w:t>
      </w:r>
      <w:r w:rsidRPr="00F626B6">
        <w:t xml:space="preserve"> (myoadenylate deaminase gene 1p13-21 is mutated in ≈ 2% normal people).</w:t>
      </w:r>
    </w:p>
    <w:p w:rsidR="00B25AA7" w:rsidRPr="00F626B6" w:rsidRDefault="00B25AA7">
      <w:pPr>
        <w:pStyle w:val="NormalWeb"/>
        <w:numPr>
          <w:ilvl w:val="0"/>
          <w:numId w:val="10"/>
        </w:numPr>
        <w:spacing w:before="120"/>
      </w:pPr>
      <w:r w:rsidRPr="00F626B6">
        <w:rPr>
          <w:b/>
          <w:bCs/>
          <w:i/>
          <w:iCs/>
        </w:rPr>
        <w:t>forearm exercise test</w:t>
      </w:r>
      <w:r w:rsidRPr="00F626B6">
        <w:t xml:space="preserve"> - no increase in [ammonia].</w:t>
      </w:r>
    </w:p>
    <w:p w:rsidR="006C10CE" w:rsidRPr="00F626B6" w:rsidRDefault="006C10CE" w:rsidP="006C10CE"/>
    <w:p w:rsidR="006C10CE" w:rsidRPr="00F626B6" w:rsidRDefault="006C10CE" w:rsidP="006C10CE"/>
    <w:p w:rsidR="006C10CE" w:rsidRPr="00F626B6" w:rsidRDefault="006C10CE" w:rsidP="006C10CE"/>
    <w:p w:rsidR="006C10CE" w:rsidRPr="00F626B6" w:rsidRDefault="006C10CE" w:rsidP="006C10CE"/>
    <w:p w:rsidR="006C10CE" w:rsidRPr="00F626B6" w:rsidRDefault="006C10CE" w:rsidP="006C10CE"/>
    <w:p w:rsidR="006C10CE" w:rsidRPr="00F626B6" w:rsidRDefault="006C10CE" w:rsidP="006C10CE"/>
    <w:p w:rsidR="006C10CE" w:rsidRPr="00F626B6" w:rsidRDefault="006C10CE" w:rsidP="006C10CE">
      <w:pPr>
        <w:rPr>
          <w:szCs w:val="24"/>
        </w:rPr>
      </w:pPr>
      <w:r w:rsidRPr="00F626B6">
        <w:rPr>
          <w:smallCaps/>
          <w:szCs w:val="24"/>
          <w:u w:val="single"/>
        </w:rPr>
        <w:t>Bibliography</w:t>
      </w:r>
      <w:r w:rsidRPr="00F626B6">
        <w:rPr>
          <w:szCs w:val="24"/>
        </w:rPr>
        <w:t xml:space="preserve"> for ch. “Metabolic Disorders” → follow this </w:t>
      </w:r>
      <w:hyperlink r:id="rId12" w:tgtFrame="_blank" w:history="1">
        <w:r w:rsidRPr="00F626B6">
          <w:rPr>
            <w:rStyle w:val="Hyperlink"/>
            <w:smallCaps/>
            <w:szCs w:val="24"/>
          </w:rPr>
          <w:t>link</w:t>
        </w:r>
        <w:r w:rsidRPr="00F626B6">
          <w:rPr>
            <w:rStyle w:val="Hyperlink"/>
            <w:szCs w:val="24"/>
          </w:rPr>
          <w:t xml:space="preserve"> &gt;&gt;</w:t>
        </w:r>
      </w:hyperlink>
    </w:p>
    <w:p w:rsidR="006C10CE" w:rsidRPr="00F626B6" w:rsidRDefault="006C10CE" w:rsidP="006C10CE">
      <w:pPr>
        <w:rPr>
          <w:sz w:val="20"/>
        </w:rPr>
      </w:pPr>
    </w:p>
    <w:p w:rsidR="006C10CE" w:rsidRPr="00F626B6" w:rsidRDefault="006C10CE" w:rsidP="006C10CE">
      <w:pPr>
        <w:pBdr>
          <w:bottom w:val="single" w:sz="4" w:space="1" w:color="auto"/>
        </w:pBdr>
        <w:ind w:right="57"/>
        <w:rPr>
          <w:sz w:val="20"/>
        </w:rPr>
      </w:pPr>
    </w:p>
    <w:p w:rsidR="006C10CE" w:rsidRPr="00F626B6" w:rsidRDefault="006C10CE" w:rsidP="006C10CE">
      <w:pPr>
        <w:pBdr>
          <w:bottom w:val="single" w:sz="4" w:space="1" w:color="auto"/>
        </w:pBdr>
        <w:ind w:right="57"/>
        <w:rPr>
          <w:sz w:val="20"/>
        </w:rPr>
      </w:pPr>
    </w:p>
    <w:p w:rsidR="006C10CE" w:rsidRPr="00F626B6" w:rsidRDefault="004A3ED0" w:rsidP="006C10CE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3" w:tgtFrame="_blank" w:history="1">
        <w:r w:rsidR="006C10CE" w:rsidRPr="00F626B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6C10CE" w:rsidRPr="00F626B6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6C10CE" w:rsidRPr="00F626B6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6C10CE" w:rsidRPr="00F626B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6C10CE" w:rsidRPr="00F626B6" w:rsidRDefault="004A3ED0" w:rsidP="006C10CE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4" w:tgtFrame="_blank" w:history="1">
        <w:r w:rsidR="006C10CE" w:rsidRPr="00F626B6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B25AA7" w:rsidRPr="00F626B6" w:rsidRDefault="00B25AA7" w:rsidP="006C10CE">
      <w:pPr>
        <w:pStyle w:val="NormalWeb"/>
      </w:pPr>
    </w:p>
    <w:sectPr w:rsidR="00B25AA7" w:rsidRPr="00F626B6" w:rsidSect="00EF3AFC">
      <w:headerReference w:type="default" r:id="rId15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94" w:rsidRDefault="00664294">
      <w:r>
        <w:separator/>
      </w:r>
    </w:p>
  </w:endnote>
  <w:endnote w:type="continuationSeparator" w:id="0">
    <w:p w:rsidR="00664294" w:rsidRDefault="0066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94" w:rsidRDefault="00664294">
      <w:r>
        <w:separator/>
      </w:r>
    </w:p>
  </w:footnote>
  <w:footnote w:type="continuationSeparator" w:id="0">
    <w:p w:rsidR="00664294" w:rsidRDefault="0066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AA7" w:rsidRPr="007F0538" w:rsidRDefault="003A369F" w:rsidP="007F0538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538">
      <w:rPr>
        <w:b/>
        <w:caps/>
      </w:rPr>
      <w:tab/>
    </w:r>
    <w:r w:rsidR="007F0538" w:rsidRPr="007F0538">
      <w:rPr>
        <w:b/>
        <w:smallCaps/>
      </w:rPr>
      <w:t>Metabolic Myopathies</w:t>
    </w:r>
    <w:r w:rsidR="007F0538">
      <w:rPr>
        <w:b/>
        <w:bCs/>
        <w:iCs/>
        <w:smallCaps/>
      </w:rPr>
      <w:tab/>
    </w:r>
    <w:r w:rsidR="007F0538">
      <w:t>Met1 (</w:t>
    </w:r>
    <w:r w:rsidR="007F0538">
      <w:fldChar w:fldCharType="begin"/>
    </w:r>
    <w:r w:rsidR="007F0538">
      <w:instrText xml:space="preserve"> PAGE </w:instrText>
    </w:r>
    <w:r w:rsidR="007F0538">
      <w:fldChar w:fldCharType="separate"/>
    </w:r>
    <w:r w:rsidR="004A3ED0">
      <w:rPr>
        <w:noProof/>
      </w:rPr>
      <w:t>1</w:t>
    </w:r>
    <w:r w:rsidR="007F0538">
      <w:fldChar w:fldCharType="end"/>
    </w:r>
    <w:r w:rsidR="007F053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453"/>
    <w:multiLevelType w:val="hybridMultilevel"/>
    <w:tmpl w:val="DF9ACC28"/>
    <w:lvl w:ilvl="0" w:tplc="2AEA9B98">
      <w:start w:val="1"/>
      <w:numFmt w:val="bullet"/>
      <w:lvlText w:val="–"/>
      <w:lvlJc w:val="left"/>
      <w:pPr>
        <w:tabs>
          <w:tab w:val="num" w:pos="1834"/>
        </w:tabs>
        <w:ind w:left="1814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E190DBA"/>
    <w:multiLevelType w:val="hybridMultilevel"/>
    <w:tmpl w:val="9E048B1A"/>
    <w:lvl w:ilvl="0" w:tplc="3BD8231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036AD"/>
    <w:multiLevelType w:val="hybridMultilevel"/>
    <w:tmpl w:val="CBEA7850"/>
    <w:lvl w:ilvl="0" w:tplc="2AEA9B98">
      <w:start w:val="1"/>
      <w:numFmt w:val="bullet"/>
      <w:lvlText w:val="–"/>
      <w:lvlJc w:val="left"/>
      <w:pPr>
        <w:tabs>
          <w:tab w:val="num" w:pos="2520"/>
        </w:tabs>
        <w:ind w:left="2500" w:hanging="34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3" w:tplc="2AEA9B98">
      <w:start w:val="1"/>
      <w:numFmt w:val="bullet"/>
      <w:lvlText w:val="–"/>
      <w:lvlJc w:val="left"/>
      <w:pPr>
        <w:tabs>
          <w:tab w:val="num" w:pos="3906"/>
        </w:tabs>
        <w:ind w:left="3886" w:hanging="34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3" w15:restartNumberingAfterBreak="0">
    <w:nsid w:val="1DC07BB2"/>
    <w:multiLevelType w:val="hybridMultilevel"/>
    <w:tmpl w:val="4C84E21A"/>
    <w:lvl w:ilvl="0" w:tplc="A594AA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C207CF8">
      <w:start w:val="1"/>
      <w:numFmt w:val="upp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color w:val="000000"/>
      </w:rPr>
    </w:lvl>
    <w:lvl w:ilvl="2" w:tplc="C2221A9A">
      <w:start w:val="1"/>
      <w:numFmt w:val="decimal"/>
      <w:lvlText w:val="%3)"/>
      <w:lvlJc w:val="left"/>
      <w:pPr>
        <w:tabs>
          <w:tab w:val="num" w:pos="1980"/>
        </w:tabs>
        <w:ind w:left="1960" w:hanging="340"/>
      </w:pPr>
      <w:rPr>
        <w:rFonts w:hint="default"/>
        <w:b w:val="0"/>
        <w:i w:val="0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BC24AA"/>
    <w:multiLevelType w:val="hybridMultilevel"/>
    <w:tmpl w:val="FD927858"/>
    <w:lvl w:ilvl="0" w:tplc="2AEA9B98">
      <w:start w:val="1"/>
      <w:numFmt w:val="bullet"/>
      <w:lvlText w:val="–"/>
      <w:lvlJc w:val="left"/>
      <w:pPr>
        <w:tabs>
          <w:tab w:val="num" w:pos="2934"/>
        </w:tabs>
        <w:ind w:left="2914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AEA9B98">
      <w:start w:val="1"/>
      <w:numFmt w:val="bullet"/>
      <w:lvlText w:val="–"/>
      <w:lvlJc w:val="left"/>
      <w:pPr>
        <w:tabs>
          <w:tab w:val="num" w:pos="1593"/>
        </w:tabs>
        <w:ind w:left="1573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B15532F"/>
    <w:multiLevelType w:val="hybridMultilevel"/>
    <w:tmpl w:val="D856F2BE"/>
    <w:lvl w:ilvl="0" w:tplc="0C207CF8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C2221A9A">
      <w:start w:val="1"/>
      <w:numFmt w:val="decimal"/>
      <w:lvlText w:val="%2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53BC1720"/>
    <w:multiLevelType w:val="hybridMultilevel"/>
    <w:tmpl w:val="1FBE45D0"/>
    <w:lvl w:ilvl="0" w:tplc="31C239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2AEA9B98">
      <w:start w:val="1"/>
      <w:numFmt w:val="bullet"/>
      <w:lvlText w:val="–"/>
      <w:lvlJc w:val="left"/>
      <w:pPr>
        <w:tabs>
          <w:tab w:val="num" w:pos="1593"/>
        </w:tabs>
        <w:ind w:left="1573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97914A7"/>
    <w:multiLevelType w:val="hybridMultilevel"/>
    <w:tmpl w:val="21AC2160"/>
    <w:lvl w:ilvl="0" w:tplc="44F6E4A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6C845043"/>
    <w:multiLevelType w:val="hybridMultilevel"/>
    <w:tmpl w:val="72827400"/>
    <w:lvl w:ilvl="0" w:tplc="1A8AAA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B144FE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F6ED1E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FD6B35"/>
    <w:multiLevelType w:val="hybridMultilevel"/>
    <w:tmpl w:val="1FBE45D0"/>
    <w:lvl w:ilvl="0" w:tplc="31C239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F675AE9"/>
    <w:multiLevelType w:val="hybridMultilevel"/>
    <w:tmpl w:val="72827400"/>
    <w:lvl w:ilvl="0" w:tplc="02F6ED1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B144FEFE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2F6ED1E">
      <w:start w:val="1"/>
      <w:numFmt w:val="bullet"/>
      <w:lvlText w:val=""/>
      <w:lvlJc w:val="left"/>
      <w:pPr>
        <w:tabs>
          <w:tab w:val="num" w:pos="2680"/>
        </w:tabs>
        <w:ind w:left="2660" w:hanging="34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3D"/>
    <w:rsid w:val="000631D2"/>
    <w:rsid w:val="00084991"/>
    <w:rsid w:val="000F7DEF"/>
    <w:rsid w:val="00152663"/>
    <w:rsid w:val="00374DD0"/>
    <w:rsid w:val="00390CDC"/>
    <w:rsid w:val="003A369F"/>
    <w:rsid w:val="003C0CB3"/>
    <w:rsid w:val="003F2AA6"/>
    <w:rsid w:val="0047143D"/>
    <w:rsid w:val="00472030"/>
    <w:rsid w:val="004A3ED0"/>
    <w:rsid w:val="005A28DC"/>
    <w:rsid w:val="005E3AF1"/>
    <w:rsid w:val="00664294"/>
    <w:rsid w:val="006C10CE"/>
    <w:rsid w:val="0077107D"/>
    <w:rsid w:val="007F0538"/>
    <w:rsid w:val="00944482"/>
    <w:rsid w:val="009C00C7"/>
    <w:rsid w:val="00A1396A"/>
    <w:rsid w:val="00B25AA7"/>
    <w:rsid w:val="00C01DD6"/>
    <w:rsid w:val="00DC00FF"/>
    <w:rsid w:val="00DD11B7"/>
    <w:rsid w:val="00E43C19"/>
    <w:rsid w:val="00EB4FED"/>
    <w:rsid w:val="00EC1D1C"/>
    <w:rsid w:val="00EE5DF4"/>
    <w:rsid w:val="00EF3AFC"/>
    <w:rsid w:val="00F43F02"/>
    <w:rsid w:val="00F626B6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227CC56-6B7A-408B-93CE-3D73B8B6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30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GB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472030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720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472030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472030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472030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472030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472030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472030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472030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472030"/>
    <w:rPr>
      <w:b/>
      <w:caps/>
      <w:sz w:val="28"/>
      <w:u w:val="double"/>
    </w:rPr>
  </w:style>
  <w:style w:type="character" w:styleId="Hyperlink">
    <w:name w:val="Hyperlink"/>
    <w:basedOn w:val="DefaultParagraphFont"/>
    <w:rsid w:val="00472030"/>
    <w:rPr>
      <w:color w:val="999999"/>
      <w:u w:val="none"/>
    </w:rPr>
  </w:style>
  <w:style w:type="paragraph" w:customStyle="1" w:styleId="Nervous4">
    <w:name w:val="Nervous 4"/>
    <w:basedOn w:val="Normal"/>
    <w:rsid w:val="004720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47203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472030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472030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472030"/>
    <w:rPr>
      <w:szCs w:val="24"/>
    </w:rPr>
  </w:style>
  <w:style w:type="paragraph" w:customStyle="1" w:styleId="Nervous6">
    <w:name w:val="Nervous 6"/>
    <w:basedOn w:val="Normal"/>
    <w:rsid w:val="00472030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472030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472030"/>
    <w:rPr>
      <w:b w:val="0"/>
      <w:caps w:val="0"/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472030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472030"/>
    <w:rPr>
      <w:color w:val="999999"/>
      <w:u w:val="none"/>
    </w:rPr>
  </w:style>
  <w:style w:type="paragraph" w:customStyle="1" w:styleId="Nervous9">
    <w:name w:val="Nervous 9"/>
    <w:rsid w:val="00472030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472030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USMLE%202\Biochemistry,%20Metabolic%20Disorders%20(501-900)\750.%20Fatty%20Acid%20Oxidation%20Disorders.pdf" TargetMode="External"/><Relationship Id="rId13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USMLE%202\Biochemistry,%20Metabolic%20Disorders%20(501-900)\734.jpg" TargetMode="External"/><Relationship Id="rId12" Type="http://schemas.openxmlformats.org/officeDocument/2006/relationships/hyperlink" Target="http://www.neurosurgeryresident.net/Mus.%20Muscular,%20Neuromuscular%20disorders\Mus.%20Bibliography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USMLE%202\Biochemistry,%20Metabolic%20Disorders%20(501-900)\832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eurosurgeryresident.net/USMLE%202\Biochemistry,%20Metabolic%20Disorders%20(501-900)\750.%20Fatty%20Acid%20Oxidation%20Disord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USMLE%202\Biochemistry,%20Metabolic%20Disorders%20(501-900)\734.jpg" TargetMode="External"/><Relationship Id="rId14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8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Metabolic Myopathies</vt:lpstr>
    </vt:vector>
  </TitlesOfParts>
  <Company>www.NeurosurgeryResident.net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Metabolic Myopathies</dc:title>
  <dc:subject/>
  <dc:creator>Viktoras Palys, MD</dc:creator>
  <cp:keywords/>
  <cp:lastModifiedBy>Viktoras Palys</cp:lastModifiedBy>
  <cp:revision>6</cp:revision>
  <cp:lastPrinted>2019-04-19T07:30:00Z</cp:lastPrinted>
  <dcterms:created xsi:type="dcterms:W3CDTF">2016-03-14T03:47:00Z</dcterms:created>
  <dcterms:modified xsi:type="dcterms:W3CDTF">2019-04-19T07:30:00Z</dcterms:modified>
</cp:coreProperties>
</file>