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DD" w:rsidRPr="007C0FC2" w:rsidRDefault="00C86EDD" w:rsidP="00F7036D">
      <w:pPr>
        <w:pStyle w:val="Title"/>
      </w:pPr>
      <w:bookmarkStart w:id="0" w:name="_GoBack"/>
      <w:r w:rsidRPr="007C0FC2">
        <w:t>Drug-Induced Movement Disorders</w:t>
      </w:r>
    </w:p>
    <w:p w:rsidR="004B0440" w:rsidRDefault="004B0440" w:rsidP="004B044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D1BAA">
        <w:rPr>
          <w:noProof/>
        </w:rPr>
        <w:t>April 17, 2019</w:t>
      </w:r>
      <w:r>
        <w:fldChar w:fldCharType="end"/>
      </w:r>
    </w:p>
    <w:p w:rsidR="00EB7C49" w:rsidRDefault="00EB7C4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iCs/>
          <w:smallCaps/>
        </w:rPr>
        <w:fldChar w:fldCharType="begin"/>
      </w:r>
      <w:r>
        <w:rPr>
          <w:b/>
          <w:iCs/>
          <w:smallCaps/>
        </w:rPr>
        <w:instrText xml:space="preserve"> TOC \h \z \t "Nervous 5,2,Nervous 6,3" </w:instrText>
      </w:r>
      <w:r>
        <w:rPr>
          <w:b/>
          <w:iCs/>
          <w:smallCaps/>
        </w:rPr>
        <w:fldChar w:fldCharType="separate"/>
      </w:r>
      <w:hyperlink w:anchor="_Toc3203701" w:history="1">
        <w:r w:rsidRPr="00AF1DD4">
          <w:rPr>
            <w:rStyle w:val="Hyperlink"/>
            <w:noProof/>
          </w:rPr>
          <w:t>Etiology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BA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B7C49" w:rsidRDefault="003D1B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702" w:history="1">
        <w:r w:rsidR="00EB7C49" w:rsidRPr="00AF1DD4">
          <w:rPr>
            <w:rStyle w:val="Hyperlink"/>
            <w:noProof/>
          </w:rPr>
          <w:t>Types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_Toc3203702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703" w:history="1">
        <w:r w:rsidR="00EB7C49" w:rsidRPr="00AF1DD4">
          <w:rPr>
            <w:rStyle w:val="Hyperlink"/>
            <w:noProof/>
          </w:rPr>
          <w:t>Acute dystonic reactions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_Toc3203703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704" w:history="1">
        <w:r w:rsidR="00EB7C49" w:rsidRPr="00AF1DD4">
          <w:rPr>
            <w:rStyle w:val="Hyperlink"/>
            <w:noProof/>
          </w:rPr>
          <w:t>Neuroleptic malignant syndrome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_Toc3203704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705" w:history="1">
        <w:r w:rsidR="00EB7C49" w:rsidRPr="00AF1DD4">
          <w:rPr>
            <w:rStyle w:val="Hyperlink"/>
            <w:noProof/>
          </w:rPr>
          <w:t>Clinical Features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_Toc3203705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706" w:history="1">
        <w:r w:rsidR="00EB7C49" w:rsidRPr="00AF1DD4">
          <w:rPr>
            <w:rStyle w:val="Hyperlink"/>
            <w:noProof/>
          </w:rPr>
          <w:t>Diagnosis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_Toc3203706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707" w:history="1">
        <w:r w:rsidR="00EB7C49" w:rsidRPr="00AF1DD4">
          <w:rPr>
            <w:rStyle w:val="Hyperlink"/>
            <w:noProof/>
          </w:rPr>
          <w:t>Treatment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_Toc3203707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708" w:history="1">
        <w:r w:rsidR="00EB7C49" w:rsidRPr="00AF1DD4">
          <w:rPr>
            <w:rStyle w:val="Hyperlink"/>
            <w:noProof/>
          </w:rPr>
          <w:t>Tardive dyskinesia (TD) syndromes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_Toc3203708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709" w:history="1">
        <w:r w:rsidR="00EB7C49" w:rsidRPr="00AF1DD4">
          <w:rPr>
            <w:rStyle w:val="Hyperlink"/>
            <w:noProof/>
          </w:rPr>
          <w:t>Treatment of tardive dyskinesias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_Toc3203709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710" w:history="1">
        <w:r w:rsidR="00EB7C49" w:rsidRPr="00AF1DD4">
          <w:rPr>
            <w:rStyle w:val="Hyperlink"/>
            <w:noProof/>
          </w:rPr>
          <w:t>Prophylaxis of tardive dyskinesias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_Toc3203710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B7C49">
          <w:rPr>
            <w:noProof/>
            <w:webHidden/>
          </w:rPr>
          <w:fldChar w:fldCharType="end"/>
        </w:r>
      </w:hyperlink>
    </w:p>
    <w:p w:rsidR="00EB7C49" w:rsidRDefault="003D1B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711" w:history="1">
        <w:r w:rsidR="00EB7C49" w:rsidRPr="00AF1DD4">
          <w:rPr>
            <w:rStyle w:val="Hyperlink"/>
            <w:noProof/>
          </w:rPr>
          <w:t>Withdrawal emergent syndrome</w:t>
        </w:r>
        <w:r w:rsidR="00EB7C49">
          <w:rPr>
            <w:noProof/>
            <w:webHidden/>
          </w:rPr>
          <w:tab/>
        </w:r>
        <w:r w:rsidR="00EB7C49">
          <w:rPr>
            <w:noProof/>
            <w:webHidden/>
          </w:rPr>
          <w:fldChar w:fldCharType="begin"/>
        </w:r>
        <w:r w:rsidR="00EB7C49">
          <w:rPr>
            <w:noProof/>
            <w:webHidden/>
          </w:rPr>
          <w:instrText xml:space="preserve"> PAGEREF _Toc3203711 \h </w:instrText>
        </w:r>
        <w:r w:rsidR="00EB7C49">
          <w:rPr>
            <w:noProof/>
            <w:webHidden/>
          </w:rPr>
        </w:r>
        <w:r w:rsidR="00EB7C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B7C49">
          <w:rPr>
            <w:noProof/>
            <w:webHidden/>
          </w:rPr>
          <w:fldChar w:fldCharType="end"/>
        </w:r>
      </w:hyperlink>
    </w:p>
    <w:p w:rsidR="00C86EDD" w:rsidRPr="007C0FC2" w:rsidRDefault="00EB7C49">
      <w:pPr>
        <w:rPr>
          <w:iCs/>
        </w:rPr>
      </w:pPr>
      <w:r>
        <w:rPr>
          <w:b/>
          <w:iCs/>
          <w:smallCaps/>
        </w:rPr>
        <w:fldChar w:fldCharType="end"/>
      </w:r>
    </w:p>
    <w:p w:rsidR="00C367D8" w:rsidRPr="007C0FC2" w:rsidRDefault="00C367D8">
      <w:pPr>
        <w:rPr>
          <w:iCs/>
        </w:rPr>
      </w:pPr>
    </w:p>
    <w:p w:rsidR="00C367D8" w:rsidRPr="007C0FC2" w:rsidRDefault="001C77FD" w:rsidP="001C77FD">
      <w:pPr>
        <w:pStyle w:val="Nervous6"/>
        <w:ind w:right="8646"/>
      </w:pPr>
      <w:bookmarkStart w:id="1" w:name="_Toc3203701"/>
      <w:r w:rsidRPr="007C0FC2">
        <w:t>Etiology</w:t>
      </w:r>
      <w:bookmarkEnd w:id="1"/>
    </w:p>
    <w:p w:rsidR="00407E86" w:rsidRPr="007C0FC2" w:rsidRDefault="00407E86" w:rsidP="00407E86">
      <w:pPr>
        <w:pStyle w:val="NormalWeb"/>
        <w:spacing w:before="120"/>
      </w:pPr>
      <w:r w:rsidRPr="007C0FC2">
        <w:rPr>
          <w:highlight w:val="yellow"/>
        </w:rPr>
        <w:t>Dopamine-depleting drug</w:t>
      </w:r>
      <w:r w:rsidRPr="007C0FC2">
        <w:t xml:space="preserve"> </w:t>
      </w:r>
      <w:r w:rsidRPr="004B0440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reserpine</w:t>
      </w:r>
      <w:r w:rsidRPr="007C0FC2">
        <w:t xml:space="preserve"> can induce </w:t>
      </w:r>
      <w:r w:rsidRPr="007C0FC2">
        <w:rPr>
          <w:b/>
          <w:bCs/>
          <w:smallCaps/>
        </w:rPr>
        <w:t>acute akathisia</w:t>
      </w:r>
      <w:r w:rsidRPr="007C0FC2">
        <w:t xml:space="preserve"> and </w:t>
      </w:r>
      <w:r w:rsidRPr="007C0FC2">
        <w:rPr>
          <w:b/>
          <w:bCs/>
          <w:smallCaps/>
        </w:rPr>
        <w:t>drug-induced parkinsonism</w:t>
      </w:r>
      <w:r w:rsidRPr="007C0FC2">
        <w:t>.</w:t>
      </w:r>
    </w:p>
    <w:p w:rsidR="00407E86" w:rsidRPr="007C0FC2" w:rsidRDefault="00407E86" w:rsidP="00407E86">
      <w:pPr>
        <w:pStyle w:val="NormalWeb"/>
      </w:pPr>
    </w:p>
    <w:p w:rsidR="00C86EDD" w:rsidRPr="007C0FC2" w:rsidRDefault="00C86EDD">
      <w:pPr>
        <w:pStyle w:val="NormalWeb"/>
      </w:pPr>
      <w:r w:rsidRPr="007C0FC2">
        <w:rPr>
          <w:highlight w:val="yellow"/>
        </w:rPr>
        <w:t>D</w:t>
      </w:r>
      <w:r w:rsidRPr="007C0FC2">
        <w:rPr>
          <w:highlight w:val="yellow"/>
          <w:vertAlign w:val="subscript"/>
        </w:rPr>
        <w:t>2</w:t>
      </w:r>
      <w:r w:rsidRPr="007C0FC2">
        <w:rPr>
          <w:highlight w:val="yellow"/>
        </w:rPr>
        <w:t xml:space="preserve"> receptor-blocking agents</w:t>
      </w:r>
      <w:r w:rsidRPr="007C0FC2">
        <w:t>:</w:t>
      </w:r>
    </w:p>
    <w:p w:rsidR="0033223A" w:rsidRPr="007C0FC2" w:rsidRDefault="0033223A" w:rsidP="0033223A">
      <w:pPr>
        <w:pStyle w:val="NormalWeb"/>
        <w:numPr>
          <w:ilvl w:val="0"/>
          <w:numId w:val="1"/>
        </w:numPr>
      </w:pPr>
      <w:r w:rsidRPr="004B0440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metoclopramide</w:t>
      </w:r>
      <w:r w:rsidRPr="007C0FC2">
        <w:t xml:space="preserve">, </w:t>
      </w:r>
      <w:r w:rsidRPr="004B0440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flunarizine</w:t>
      </w:r>
      <w:r w:rsidRPr="007C0FC2">
        <w:t xml:space="preserve">, </w:t>
      </w:r>
      <w:r w:rsidRPr="004B0440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cinnarizine</w:t>
      </w:r>
      <w:r w:rsidRPr="007C0FC2">
        <w:t>.</w:t>
      </w:r>
    </w:p>
    <w:p w:rsidR="00C86EDD" w:rsidRPr="007C0FC2" w:rsidRDefault="00C86EDD">
      <w:pPr>
        <w:pStyle w:val="NormalWeb"/>
        <w:numPr>
          <w:ilvl w:val="0"/>
          <w:numId w:val="1"/>
        </w:numPr>
      </w:pPr>
      <w:r w:rsidRPr="004B0440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neuroleptics</w:t>
      </w:r>
      <w:r w:rsidRPr="007C0FC2">
        <w:t xml:space="preserve"> (phenothiazines and butyrophenones)</w:t>
      </w:r>
    </w:p>
    <w:p w:rsidR="001C77FD" w:rsidRPr="007C0FC2" w:rsidRDefault="001C77FD">
      <w:pPr>
        <w:pStyle w:val="NormalWeb"/>
      </w:pPr>
    </w:p>
    <w:p w:rsidR="001C77FD" w:rsidRPr="007C0FC2" w:rsidRDefault="001C77FD">
      <w:pPr>
        <w:pStyle w:val="NormalWeb"/>
      </w:pPr>
    </w:p>
    <w:p w:rsidR="00C86EDD" w:rsidRPr="007C0FC2" w:rsidRDefault="001C77FD" w:rsidP="00FC1740">
      <w:pPr>
        <w:pStyle w:val="Nervous6"/>
        <w:ind w:right="9071"/>
      </w:pPr>
      <w:bookmarkStart w:id="2" w:name="_Toc3203702"/>
      <w:r w:rsidRPr="007C0FC2">
        <w:t>Types</w:t>
      </w:r>
      <w:bookmarkEnd w:id="2"/>
    </w:p>
    <w:p w:rsidR="00C86EDD" w:rsidRPr="007C0FC2" w:rsidRDefault="00C86EDD">
      <w:pPr>
        <w:pStyle w:val="NormalWeb"/>
      </w:pPr>
      <w:r w:rsidRPr="007C0FC2">
        <w:t>D</w:t>
      </w:r>
      <w:r w:rsidRPr="007C0FC2">
        <w:rPr>
          <w:vertAlign w:val="subscript"/>
        </w:rPr>
        <w:t>2</w:t>
      </w:r>
      <w:r w:rsidRPr="007C0FC2">
        <w:t xml:space="preserve"> receptor-blocking agents can cause</w:t>
      </w:r>
      <w:r w:rsidR="007D0E44" w:rsidRPr="007C0FC2">
        <w:t xml:space="preserve"> </w:t>
      </w:r>
      <w:r w:rsidR="007D0E44" w:rsidRPr="007C0FC2">
        <w:rPr>
          <w:b/>
          <w:color w:val="0000FF"/>
        </w:rPr>
        <w:t>extrapyramidal side effects</w:t>
      </w:r>
      <w:r w:rsidR="00E27FC5" w:rsidRPr="007C0FC2">
        <w:t xml:space="preserve"> (due to D</w:t>
      </w:r>
      <w:r w:rsidR="00E27FC5" w:rsidRPr="007C0FC2">
        <w:rPr>
          <w:vertAlign w:val="subscript"/>
        </w:rPr>
        <w:t>2</w:t>
      </w:r>
      <w:r w:rsidR="00E27FC5" w:rsidRPr="007C0FC2">
        <w:t xml:space="preserve"> blockade in nigrostriatal pathway):</w:t>
      </w:r>
    </w:p>
    <w:p w:rsidR="00A36C3A" w:rsidRPr="007C0FC2" w:rsidRDefault="004B0440" w:rsidP="00A36C3A">
      <w:pPr>
        <w:pStyle w:val="NormalWeb"/>
        <w:jc w:val="center"/>
      </w:pPr>
      <w:r w:rsidRPr="007C0FC2">
        <w:rPr>
          <w:noProof/>
        </w:rPr>
        <w:drawing>
          <wp:inline distT="0" distB="0" distL="0" distR="0">
            <wp:extent cx="1714500" cy="1466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DD" w:rsidRPr="007C0FC2" w:rsidRDefault="00C86EDD" w:rsidP="00C91916">
      <w:pPr>
        <w:spacing w:before="120"/>
        <w:ind w:left="720"/>
      </w:pPr>
      <w:r w:rsidRPr="007C0FC2">
        <w:rPr>
          <w:b/>
          <w:bCs/>
        </w:rPr>
        <w:t xml:space="preserve">A. </w:t>
      </w:r>
      <w:r w:rsidRPr="007C0FC2">
        <w:rPr>
          <w:b/>
          <w:bCs/>
          <w:color w:val="0000FF"/>
          <w:u w:val="single"/>
        </w:rPr>
        <w:t>Acute disorders</w:t>
      </w:r>
      <w:r w:rsidRPr="007C0FC2">
        <w:t>:</w:t>
      </w:r>
    </w:p>
    <w:p w:rsidR="00C86EDD" w:rsidRPr="007C0FC2" w:rsidRDefault="00C86EDD" w:rsidP="00065074">
      <w:pPr>
        <w:numPr>
          <w:ilvl w:val="1"/>
          <w:numId w:val="1"/>
        </w:numPr>
        <w:tabs>
          <w:tab w:val="clear" w:pos="927"/>
          <w:tab w:val="num" w:pos="1647"/>
        </w:tabs>
        <w:spacing w:before="60"/>
        <w:ind w:left="1627"/>
      </w:pPr>
      <w:r w:rsidRPr="007C0FC2">
        <w:rPr>
          <w:b/>
          <w:smallCaps/>
        </w:rPr>
        <w:t>Acute dystonic reactions</w:t>
      </w:r>
      <w:r w:rsidRPr="007C0FC2">
        <w:t>, oculogyric crisis</w:t>
      </w:r>
    </w:p>
    <w:p w:rsidR="00C86EDD" w:rsidRPr="007C0FC2" w:rsidRDefault="00C86EDD" w:rsidP="00065074">
      <w:pPr>
        <w:numPr>
          <w:ilvl w:val="1"/>
          <w:numId w:val="1"/>
        </w:numPr>
        <w:tabs>
          <w:tab w:val="clear" w:pos="927"/>
          <w:tab w:val="num" w:pos="1647"/>
        </w:tabs>
        <w:spacing w:before="60"/>
        <w:ind w:left="1627"/>
      </w:pPr>
      <w:r w:rsidRPr="007C0FC2">
        <w:rPr>
          <w:b/>
          <w:smallCaps/>
        </w:rPr>
        <w:t>Acute akathisia</w:t>
      </w:r>
      <w:r w:rsidRPr="007C0FC2">
        <w:t xml:space="preserve"> </w:t>
      </w:r>
      <w:r w:rsidR="00E27FC5" w:rsidRPr="007C0FC2">
        <w:t xml:space="preserve">(motor restlessness) – usually </w:t>
      </w:r>
      <w:r w:rsidR="00E27FC5" w:rsidRPr="007C0FC2">
        <w:rPr>
          <w:color w:val="008000"/>
        </w:rPr>
        <w:t>reversible</w:t>
      </w:r>
      <w:r w:rsidR="00E27FC5" w:rsidRPr="007C0FC2">
        <w:t xml:space="preserve">. </w:t>
      </w:r>
      <w:r w:rsidRPr="007C0FC2">
        <w:t xml:space="preserve">   </w:t>
      </w:r>
      <w:hyperlink r:id="rId8" w:history="1">
        <w:r w:rsidR="005D1B87" w:rsidRPr="00B90E33">
          <w:rPr>
            <w:rStyle w:val="Hyperlink"/>
          </w:rPr>
          <w:t xml:space="preserve">see p. </w:t>
        </w:r>
        <w:r w:rsidRPr="00B90E33">
          <w:rPr>
            <w:rStyle w:val="Hyperlink"/>
          </w:rPr>
          <w:t>Mov1</w:t>
        </w:r>
        <w:r w:rsidR="00B90E33" w:rsidRPr="00B90E33">
          <w:rPr>
            <w:rStyle w:val="Hyperlink"/>
          </w:rPr>
          <w:t xml:space="preserve"> &gt;&gt;</w:t>
        </w:r>
      </w:hyperlink>
    </w:p>
    <w:p w:rsidR="00C86EDD" w:rsidRPr="007C0FC2" w:rsidRDefault="00C86EDD" w:rsidP="00065074">
      <w:pPr>
        <w:numPr>
          <w:ilvl w:val="1"/>
          <w:numId w:val="1"/>
        </w:numPr>
        <w:tabs>
          <w:tab w:val="clear" w:pos="927"/>
          <w:tab w:val="num" w:pos="1647"/>
        </w:tabs>
        <w:spacing w:before="60"/>
        <w:ind w:left="1627"/>
      </w:pPr>
      <w:r w:rsidRPr="007C0FC2">
        <w:rPr>
          <w:b/>
          <w:smallCaps/>
        </w:rPr>
        <w:t>Drug-induced parkinsonism</w:t>
      </w:r>
      <w:r w:rsidRPr="007C0FC2">
        <w:rPr>
          <w:color w:val="808080"/>
        </w:rPr>
        <w:t xml:space="preserve"> </w:t>
      </w:r>
      <w:r w:rsidR="00065074" w:rsidRPr="007C0FC2">
        <w:t xml:space="preserve">– subacute; usually </w:t>
      </w:r>
      <w:r w:rsidR="00065074" w:rsidRPr="007C0FC2">
        <w:rPr>
          <w:color w:val="008000"/>
        </w:rPr>
        <w:t>reversible</w:t>
      </w:r>
      <w:r w:rsidR="00065074" w:rsidRPr="007C0FC2">
        <w:t>; clinically cannot be distinguished from idiopathic Parkinson's disease.</w:t>
      </w:r>
      <w:r w:rsidRPr="007C0FC2">
        <w:rPr>
          <w:color w:val="808080"/>
        </w:rPr>
        <w:t xml:space="preserve">   </w:t>
      </w:r>
      <w:hyperlink r:id="rId9" w:history="1">
        <w:r w:rsidR="005D1B87" w:rsidRPr="00B90E33">
          <w:rPr>
            <w:rStyle w:val="Hyperlink"/>
          </w:rPr>
          <w:t xml:space="preserve">see p. </w:t>
        </w:r>
        <w:r w:rsidRPr="00B90E33">
          <w:rPr>
            <w:rStyle w:val="Hyperlink"/>
          </w:rPr>
          <w:t>Mov11</w:t>
        </w:r>
        <w:r w:rsidR="00B90E33" w:rsidRPr="00B90E33">
          <w:rPr>
            <w:rStyle w:val="Hyperlink"/>
          </w:rPr>
          <w:t xml:space="preserve"> &gt;&gt;</w:t>
        </w:r>
      </w:hyperlink>
    </w:p>
    <w:p w:rsidR="00C86EDD" w:rsidRPr="007C0FC2" w:rsidRDefault="00C86EDD" w:rsidP="00065074">
      <w:pPr>
        <w:numPr>
          <w:ilvl w:val="1"/>
          <w:numId w:val="1"/>
        </w:numPr>
        <w:tabs>
          <w:tab w:val="clear" w:pos="927"/>
          <w:tab w:val="num" w:pos="1647"/>
        </w:tabs>
        <w:spacing w:before="60"/>
        <w:ind w:left="1627"/>
      </w:pPr>
      <w:r w:rsidRPr="007C0FC2">
        <w:rPr>
          <w:b/>
          <w:smallCaps/>
        </w:rPr>
        <w:t>Neuroleptic malignant syndrome</w:t>
      </w:r>
    </w:p>
    <w:p w:rsidR="00C86EDD" w:rsidRPr="007C0FC2" w:rsidRDefault="00C86EDD" w:rsidP="00C91916">
      <w:pPr>
        <w:pStyle w:val="Heading4"/>
        <w:spacing w:before="120" w:beforeAutospacing="0" w:after="0" w:afterAutospacing="0"/>
        <w:ind w:left="720"/>
        <w:rPr>
          <w:b w:val="0"/>
          <w:bCs w:val="0"/>
          <w:szCs w:val="20"/>
          <w:lang w:val="en-US"/>
        </w:rPr>
      </w:pPr>
      <w:r w:rsidRPr="007C0FC2">
        <w:rPr>
          <w:szCs w:val="20"/>
          <w:lang w:val="en-US"/>
        </w:rPr>
        <w:t xml:space="preserve">B. </w:t>
      </w:r>
      <w:r w:rsidRPr="007C0FC2">
        <w:rPr>
          <w:color w:val="0000FF"/>
          <w:szCs w:val="20"/>
          <w:u w:val="single"/>
          <w:lang w:val="en-US"/>
        </w:rPr>
        <w:t>Chronic disorders</w:t>
      </w:r>
      <w:r w:rsidRPr="007C0FC2">
        <w:rPr>
          <w:b w:val="0"/>
          <w:bCs w:val="0"/>
          <w:szCs w:val="20"/>
          <w:lang w:val="en-US"/>
        </w:rPr>
        <w:t>:</w:t>
      </w:r>
    </w:p>
    <w:p w:rsidR="00C86EDD" w:rsidRPr="007C0FC2" w:rsidRDefault="00C86EDD" w:rsidP="00065074">
      <w:pPr>
        <w:numPr>
          <w:ilvl w:val="0"/>
          <w:numId w:val="10"/>
        </w:numPr>
        <w:tabs>
          <w:tab w:val="clear" w:pos="927"/>
          <w:tab w:val="num" w:pos="1647"/>
        </w:tabs>
        <w:spacing w:before="60"/>
        <w:ind w:left="1627"/>
      </w:pPr>
      <w:r w:rsidRPr="007C0FC2">
        <w:rPr>
          <w:b/>
          <w:smallCaps/>
        </w:rPr>
        <w:t>Withdrawal emergent syndrome</w:t>
      </w:r>
    </w:p>
    <w:p w:rsidR="00C86EDD" w:rsidRPr="007C0FC2" w:rsidRDefault="00523A20" w:rsidP="00065074">
      <w:pPr>
        <w:numPr>
          <w:ilvl w:val="0"/>
          <w:numId w:val="10"/>
        </w:numPr>
        <w:tabs>
          <w:tab w:val="clear" w:pos="927"/>
          <w:tab w:val="num" w:pos="1647"/>
        </w:tabs>
        <w:spacing w:before="60"/>
        <w:ind w:left="1627"/>
      </w:pPr>
      <w:r w:rsidRPr="007C0FC2">
        <w:rPr>
          <w:b/>
          <w:smallCaps/>
        </w:rPr>
        <w:t>Tardive dyskinesia syndromes</w:t>
      </w:r>
      <w:r w:rsidRPr="007C0FC2">
        <w:t xml:space="preserve"> (persistent dyskinesias</w:t>
      </w:r>
      <w:r w:rsidR="00C86EDD" w:rsidRPr="007C0FC2">
        <w:t>)</w:t>
      </w:r>
      <w:r w:rsidRPr="007C0FC2">
        <w:t>:</w:t>
      </w:r>
    </w:p>
    <w:p w:rsidR="00C86EDD" w:rsidRPr="007C0FC2" w:rsidRDefault="00C86EDD" w:rsidP="00C91916">
      <w:pPr>
        <w:numPr>
          <w:ilvl w:val="2"/>
          <w:numId w:val="1"/>
        </w:numPr>
        <w:tabs>
          <w:tab w:val="clear" w:pos="1494"/>
          <w:tab w:val="num" w:pos="2214"/>
        </w:tabs>
        <w:ind w:left="2194"/>
      </w:pPr>
      <w:r w:rsidRPr="007C0FC2">
        <w:t xml:space="preserve">classic tardive dyskinesia (oral-buccal-lingual) </w:t>
      </w:r>
    </w:p>
    <w:p w:rsidR="00C86EDD" w:rsidRPr="007C0FC2" w:rsidRDefault="00C86EDD" w:rsidP="00C91916">
      <w:pPr>
        <w:numPr>
          <w:ilvl w:val="2"/>
          <w:numId w:val="1"/>
        </w:numPr>
        <w:tabs>
          <w:tab w:val="clear" w:pos="1494"/>
          <w:tab w:val="num" w:pos="2214"/>
        </w:tabs>
        <w:ind w:left="2194"/>
      </w:pPr>
      <w:r w:rsidRPr="007C0FC2">
        <w:t>tardive dystonia</w:t>
      </w:r>
    </w:p>
    <w:p w:rsidR="00C86EDD" w:rsidRPr="007C0FC2" w:rsidRDefault="00C86EDD" w:rsidP="00C91916">
      <w:pPr>
        <w:numPr>
          <w:ilvl w:val="2"/>
          <w:numId w:val="1"/>
        </w:numPr>
        <w:tabs>
          <w:tab w:val="clear" w:pos="1494"/>
          <w:tab w:val="num" w:pos="2214"/>
        </w:tabs>
        <w:ind w:left="2194"/>
      </w:pPr>
      <w:r w:rsidRPr="007C0FC2">
        <w:t>tardive akathisia</w:t>
      </w:r>
      <w:r w:rsidRPr="007C0FC2">
        <w:rPr>
          <w:color w:val="808080"/>
        </w:rPr>
        <w:t xml:space="preserve">    </w:t>
      </w:r>
      <w:hyperlink r:id="rId10" w:history="1">
        <w:r w:rsidR="00B90E33" w:rsidRPr="00B90E33">
          <w:rPr>
            <w:rStyle w:val="Hyperlink"/>
          </w:rPr>
          <w:t>see p. Mov1 &gt;&gt;</w:t>
        </w:r>
      </w:hyperlink>
    </w:p>
    <w:p w:rsidR="00C86EDD" w:rsidRPr="007C0FC2" w:rsidRDefault="00C86EDD" w:rsidP="00C91916">
      <w:pPr>
        <w:numPr>
          <w:ilvl w:val="2"/>
          <w:numId w:val="1"/>
        </w:numPr>
        <w:tabs>
          <w:tab w:val="clear" w:pos="1494"/>
          <w:tab w:val="num" w:pos="2214"/>
        </w:tabs>
        <w:ind w:left="2194"/>
      </w:pPr>
      <w:r w:rsidRPr="007C0FC2">
        <w:t>tardive tics</w:t>
      </w:r>
    </w:p>
    <w:p w:rsidR="00C86EDD" w:rsidRPr="007C0FC2" w:rsidRDefault="00C86EDD" w:rsidP="00C91916">
      <w:pPr>
        <w:numPr>
          <w:ilvl w:val="2"/>
          <w:numId w:val="1"/>
        </w:numPr>
        <w:tabs>
          <w:tab w:val="clear" w:pos="1494"/>
          <w:tab w:val="num" w:pos="2214"/>
        </w:tabs>
        <w:ind w:left="2194"/>
      </w:pPr>
      <w:r w:rsidRPr="007C0FC2">
        <w:t>tardive myoclonus</w:t>
      </w:r>
    </w:p>
    <w:p w:rsidR="00C86EDD" w:rsidRPr="007C0FC2" w:rsidRDefault="00C86EDD" w:rsidP="00C91916">
      <w:pPr>
        <w:numPr>
          <w:ilvl w:val="2"/>
          <w:numId w:val="1"/>
        </w:numPr>
        <w:tabs>
          <w:tab w:val="clear" w:pos="1494"/>
          <w:tab w:val="num" w:pos="2214"/>
        </w:tabs>
        <w:ind w:left="2194"/>
      </w:pPr>
      <w:r w:rsidRPr="007C0FC2">
        <w:t>tardive tremor</w:t>
      </w:r>
      <w:r w:rsidR="001D72B3" w:rsidRPr="007C0FC2">
        <w:t>.</w:t>
      </w:r>
    </w:p>
    <w:p w:rsidR="00C86EDD" w:rsidRPr="007C0FC2" w:rsidRDefault="00C86EDD">
      <w:pPr>
        <w:pStyle w:val="NormalWeb"/>
      </w:pPr>
    </w:p>
    <w:p w:rsidR="00407E86" w:rsidRPr="007C0FC2" w:rsidRDefault="00407E86" w:rsidP="00407E86">
      <w:pPr>
        <w:numPr>
          <w:ilvl w:val="0"/>
          <w:numId w:val="12"/>
        </w:numPr>
        <w:shd w:val="clear" w:color="auto" w:fill="FFFFFF"/>
      </w:pPr>
      <w:r w:rsidRPr="007C0FC2">
        <w:rPr>
          <w:color w:val="000000"/>
          <w:u w:val="single"/>
        </w:rPr>
        <w:t>most common</w:t>
      </w:r>
      <w:r w:rsidRPr="007C0FC2">
        <w:t xml:space="preserve"> with drugs that exhibit </w:t>
      </w:r>
      <w:r w:rsidRPr="007C0FC2">
        <w:rPr>
          <w:i/>
          <w:color w:val="FF0000"/>
        </w:rPr>
        <w:t>weak anticholinergic activity</w:t>
      </w:r>
      <w:r w:rsidRPr="007C0FC2">
        <w:t xml:space="preserve"> (</w:t>
      </w:r>
      <w:r w:rsidRPr="007C0FC2">
        <w:rPr>
          <w:rStyle w:val="Drugname2Char"/>
          <w:lang w:val="en-US"/>
        </w:rPr>
        <w:t>haloperidol</w:t>
      </w:r>
      <w:r w:rsidRPr="007C0FC2">
        <w:t xml:space="preserve">, </w:t>
      </w:r>
      <w:r w:rsidRPr="007C0FC2">
        <w:rPr>
          <w:rStyle w:val="Drugname2Char"/>
          <w:lang w:val="en-US"/>
        </w:rPr>
        <w:t>fluphenazine</w:t>
      </w:r>
      <w:r w:rsidRPr="007C0FC2">
        <w:rPr>
          <w:iCs/>
        </w:rPr>
        <w:t>)</w:t>
      </w:r>
      <w:r w:rsidRPr="007C0FC2">
        <w:t>.</w:t>
      </w:r>
    </w:p>
    <w:p w:rsidR="00407E86" w:rsidRPr="007C0FC2" w:rsidRDefault="00407E86" w:rsidP="00407E86">
      <w:pPr>
        <w:numPr>
          <w:ilvl w:val="0"/>
          <w:numId w:val="12"/>
        </w:numPr>
        <w:shd w:val="clear" w:color="auto" w:fill="FFFFFF"/>
      </w:pPr>
      <w:r w:rsidRPr="007C0FC2">
        <w:rPr>
          <w:color w:val="000000"/>
          <w:u w:val="single"/>
        </w:rPr>
        <w:t>less common</w:t>
      </w:r>
      <w:r w:rsidRPr="007C0FC2">
        <w:rPr>
          <w:u w:val="single"/>
        </w:rPr>
        <w:t xml:space="preserve"> with</w:t>
      </w:r>
      <w:r w:rsidRPr="007C0FC2">
        <w:t>:</w:t>
      </w:r>
    </w:p>
    <w:p w:rsidR="00407E86" w:rsidRPr="007C0FC2" w:rsidRDefault="00407E86" w:rsidP="00407E86">
      <w:pPr>
        <w:numPr>
          <w:ilvl w:val="0"/>
          <w:numId w:val="13"/>
        </w:numPr>
        <w:shd w:val="clear" w:color="auto" w:fill="FFFFFF"/>
      </w:pPr>
      <w:r w:rsidRPr="007C0FC2">
        <w:t xml:space="preserve">drugs that exhibit </w:t>
      </w:r>
      <w:r w:rsidRPr="007C0FC2">
        <w:rPr>
          <w:i/>
          <w:color w:val="008000"/>
        </w:rPr>
        <w:t>strong anticholinergic activity</w:t>
      </w:r>
      <w:r w:rsidRPr="007C0FC2">
        <w:t xml:space="preserve"> (</w:t>
      </w:r>
      <w:r w:rsidRPr="007C0FC2">
        <w:rPr>
          <w:rStyle w:val="Drugname2Char"/>
          <w:color w:val="008000"/>
          <w:lang w:val="en-US"/>
        </w:rPr>
        <w:t>thioridazine</w:t>
      </w:r>
      <w:r w:rsidRPr="007C0FC2">
        <w:rPr>
          <w:iCs/>
        </w:rPr>
        <w:t>)</w:t>
      </w:r>
      <w:r w:rsidRPr="007C0FC2">
        <w:t>.</w:t>
      </w:r>
    </w:p>
    <w:p w:rsidR="00407E86" w:rsidRPr="007C0FC2" w:rsidRDefault="00407E86" w:rsidP="00407E86">
      <w:pPr>
        <w:numPr>
          <w:ilvl w:val="0"/>
          <w:numId w:val="13"/>
        </w:numPr>
        <w:shd w:val="clear" w:color="auto" w:fill="FFFFFF"/>
      </w:pPr>
      <w:r w:rsidRPr="007C0FC2">
        <w:rPr>
          <w:b/>
          <w:i/>
          <w:color w:val="008000"/>
        </w:rPr>
        <w:t>newer "atypical" agents</w:t>
      </w:r>
      <w:r w:rsidRPr="007C0FC2">
        <w:t xml:space="preserve"> (</w:t>
      </w:r>
      <w:r w:rsidRPr="007C0FC2">
        <w:rPr>
          <w:rStyle w:val="Drugname2Char"/>
          <w:color w:val="008000"/>
          <w:lang w:val="en-US"/>
        </w:rPr>
        <w:t>clozapine</w:t>
      </w:r>
      <w:r w:rsidRPr="007C0FC2">
        <w:rPr>
          <w:bCs/>
        </w:rPr>
        <w:t>,</w:t>
      </w:r>
      <w:r w:rsidRPr="007C0FC2">
        <w:rPr>
          <w:b/>
          <w:bCs/>
        </w:rPr>
        <w:t xml:space="preserve"> </w:t>
      </w:r>
      <w:r w:rsidRPr="007C0FC2">
        <w:rPr>
          <w:rStyle w:val="Drugname2Char"/>
          <w:color w:val="008000"/>
          <w:lang w:val="en-US"/>
        </w:rPr>
        <w:t>risperidone</w:t>
      </w:r>
      <w:r w:rsidRPr="007C0FC2">
        <w:rPr>
          <w:iCs/>
        </w:rPr>
        <w:t>)</w:t>
      </w:r>
      <w:r w:rsidRPr="007C0FC2">
        <w:t>!!!!!</w:t>
      </w:r>
      <w:r w:rsidR="00A117BD" w:rsidRPr="007C0FC2">
        <w:t xml:space="preserve"> - predominantly block D</w:t>
      </w:r>
      <w:r w:rsidR="00A117BD" w:rsidRPr="007C0FC2">
        <w:rPr>
          <w:vertAlign w:val="subscript"/>
        </w:rPr>
        <w:t>4</w:t>
      </w:r>
      <w:r w:rsidR="00A117BD" w:rsidRPr="007C0FC2">
        <w:t xml:space="preserve"> receptors; almost free of motor side effects (except for </w:t>
      </w:r>
      <w:r w:rsidR="00A117BD" w:rsidRPr="007C0FC2">
        <w:rPr>
          <w:b/>
          <w:bCs/>
          <w:smallCaps/>
        </w:rPr>
        <w:t>acute akathisia</w:t>
      </w:r>
      <w:r w:rsidR="00A117BD" w:rsidRPr="007C0FC2">
        <w:t>).</w:t>
      </w:r>
    </w:p>
    <w:p w:rsidR="00407E86" w:rsidRPr="007C0FC2" w:rsidRDefault="00407E86">
      <w:pPr>
        <w:pStyle w:val="NormalWeb"/>
      </w:pP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ervous5"/>
        <w:ind w:right="5527"/>
      </w:pPr>
      <w:bookmarkStart w:id="3" w:name="_Toc3203703"/>
      <w:r w:rsidRPr="007C0FC2">
        <w:t>Acute dystonic reactions</w:t>
      </w:r>
      <w:bookmarkEnd w:id="3"/>
    </w:p>
    <w:p w:rsidR="00C86EDD" w:rsidRPr="007C0FC2" w:rsidRDefault="00C86EDD">
      <w:pPr>
        <w:pStyle w:val="NormalWeb"/>
      </w:pPr>
      <w:r w:rsidRPr="007C0FC2">
        <w:t>- dramatic severe twisting of limbs, trunk, neck, tongue, and face.</w:t>
      </w:r>
    </w:p>
    <w:p w:rsidR="00C86EDD" w:rsidRPr="007C0FC2" w:rsidRDefault="00C86EDD">
      <w:pPr>
        <w:pStyle w:val="NormalWeb"/>
        <w:numPr>
          <w:ilvl w:val="0"/>
          <w:numId w:val="2"/>
        </w:numPr>
      </w:pPr>
      <w:r w:rsidRPr="007C0FC2">
        <w:t xml:space="preserve">occur within </w:t>
      </w:r>
      <w:r w:rsidRPr="007C0FC2">
        <w:rPr>
          <w:i/>
          <w:iCs/>
          <w:color w:val="FF0000"/>
        </w:rPr>
        <w:t>first few days</w:t>
      </w:r>
      <w:r w:rsidRPr="007C0FC2">
        <w:t xml:space="preserve"> (usually within 48 hours)</w:t>
      </w:r>
      <w:r w:rsidR="00466FAE" w:rsidRPr="007C0FC2">
        <w:t>*</w:t>
      </w:r>
      <w:r w:rsidRPr="007C0FC2">
        <w:t xml:space="preserve"> – idiosyncratic reaction.</w:t>
      </w:r>
    </w:p>
    <w:p w:rsidR="00466FAE" w:rsidRPr="007C0FC2" w:rsidRDefault="00466FAE" w:rsidP="00466FAE">
      <w:pPr>
        <w:pStyle w:val="NormalWeb"/>
        <w:jc w:val="right"/>
      </w:pPr>
      <w:r w:rsidRPr="007C0FC2">
        <w:t>*often seen following single parenteral dose of neuroleptics</w:t>
      </w:r>
    </w:p>
    <w:p w:rsidR="00C86EDD" w:rsidRPr="007C0FC2" w:rsidRDefault="00C86EDD">
      <w:pPr>
        <w:pStyle w:val="NormalWeb"/>
        <w:numPr>
          <w:ilvl w:val="0"/>
          <w:numId w:val="2"/>
        </w:numPr>
      </w:pPr>
      <w:r w:rsidRPr="007C0FC2">
        <w:t>predominantly affect children and young adults (males &gt; females).</w:t>
      </w:r>
    </w:p>
    <w:p w:rsidR="003A15D6" w:rsidRPr="007C0FC2" w:rsidRDefault="003A15D6">
      <w:pPr>
        <w:pStyle w:val="NormalWeb"/>
        <w:numPr>
          <w:ilvl w:val="0"/>
          <w:numId w:val="2"/>
        </w:numPr>
      </w:pPr>
      <w:r w:rsidRPr="007C0FC2">
        <w:t>extremely frightening reactions (</w:t>
      </w:r>
      <w:r w:rsidRPr="007C0FC2">
        <w:rPr>
          <w:b/>
          <w:i/>
        </w:rPr>
        <w:t>oculogyric crises</w:t>
      </w:r>
      <w:r w:rsidRPr="007C0FC2">
        <w:t xml:space="preserve">, </w:t>
      </w:r>
      <w:r w:rsidRPr="007C0FC2">
        <w:rPr>
          <w:b/>
          <w:i/>
        </w:rPr>
        <w:t>opisthotonic posturing</w:t>
      </w:r>
      <w:r w:rsidRPr="007C0FC2">
        <w:t xml:space="preserve">, </w:t>
      </w:r>
      <w:r w:rsidRPr="007C0FC2">
        <w:rPr>
          <w:b/>
          <w:i/>
        </w:rPr>
        <w:t>torticollis</w:t>
      </w:r>
      <w:r w:rsidRPr="007C0FC2">
        <w:t>).</w:t>
      </w:r>
    </w:p>
    <w:p w:rsidR="00C86EDD" w:rsidRPr="007C0FC2" w:rsidRDefault="00C86EDD" w:rsidP="00875368">
      <w:pPr>
        <w:pStyle w:val="NormalWeb"/>
        <w:ind w:left="2160"/>
      </w:pPr>
      <w:r w:rsidRPr="007C0FC2">
        <w:rPr>
          <w:b/>
          <w:bCs/>
          <w:smallCaps/>
          <w:highlight w:val="lightGray"/>
        </w:rPr>
        <w:t>oculogyric crisis</w:t>
      </w:r>
      <w:r w:rsidRPr="007C0FC2">
        <w:t xml:space="preserve"> – incapacitating dystonic conjugate upward eye deviation for minutes or hours.</w:t>
      </w:r>
    </w:p>
    <w:p w:rsidR="0023090A" w:rsidRPr="007C0FC2" w:rsidRDefault="0023090A">
      <w:pPr>
        <w:pStyle w:val="NormalWeb"/>
        <w:numPr>
          <w:ilvl w:val="0"/>
          <w:numId w:val="2"/>
        </w:numPr>
      </w:pPr>
      <w:r w:rsidRPr="007C0FC2">
        <w:rPr>
          <w:color w:val="008000"/>
        </w:rPr>
        <w:t>self-limited</w:t>
      </w:r>
      <w:r w:rsidR="00875368" w:rsidRPr="007C0FC2">
        <w:t xml:space="preserve"> within 24 hours.</w:t>
      </w:r>
    </w:p>
    <w:p w:rsidR="00C86EDD" w:rsidRPr="007C0FC2" w:rsidRDefault="00C86EDD">
      <w:pPr>
        <w:pStyle w:val="NormalWeb"/>
        <w:numPr>
          <w:ilvl w:val="0"/>
          <w:numId w:val="2"/>
        </w:numPr>
      </w:pPr>
      <w:r w:rsidRPr="007C0FC2">
        <w:rPr>
          <w:u w:val="single"/>
        </w:rPr>
        <w:t>easily reversible with</w:t>
      </w:r>
      <w:r w:rsidR="0023090A" w:rsidRPr="007C0FC2">
        <w:t xml:space="preserve"> </w:t>
      </w:r>
      <w:r w:rsidRPr="007C0FC2">
        <w:t xml:space="preserve">anticholinergics (e.g. </w:t>
      </w: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benztropine</w:t>
      </w:r>
      <w:r w:rsidRPr="007C0FC2">
        <w:t xml:space="preserve"> </w:t>
      </w:r>
      <w:r w:rsidR="0023090A" w:rsidRPr="007C0FC2">
        <w:t>1-</w:t>
      </w:r>
      <w:r w:rsidRPr="007C0FC2">
        <w:t xml:space="preserve">2 mg IM; </w:t>
      </w: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diphenhydramine</w:t>
      </w:r>
      <w:r w:rsidRPr="007C0FC2">
        <w:t xml:space="preserve"> </w:t>
      </w:r>
      <w:r w:rsidR="0023090A" w:rsidRPr="007C0FC2">
        <w:t>25-</w:t>
      </w:r>
      <w:r w:rsidRPr="007C0FC2">
        <w:t xml:space="preserve">50 mg </w:t>
      </w:r>
      <w:r w:rsidR="0023090A" w:rsidRPr="007C0FC2">
        <w:t>IM/IV</w:t>
      </w:r>
      <w:r w:rsidRPr="007C0FC2">
        <w:t>)</w:t>
      </w:r>
      <w:r w:rsidR="0023090A" w:rsidRPr="007C0FC2">
        <w:t>.</w:t>
      </w:r>
    </w:p>
    <w:p w:rsidR="00C86EDD" w:rsidRPr="007C0FC2" w:rsidRDefault="00875368" w:rsidP="00875368">
      <w:pPr>
        <w:pStyle w:val="NormalWeb"/>
        <w:numPr>
          <w:ilvl w:val="0"/>
          <w:numId w:val="14"/>
        </w:numPr>
      </w:pPr>
      <w:r w:rsidRPr="007C0FC2">
        <w:t xml:space="preserve">dangerous </w:t>
      </w:r>
      <w:r w:rsidRPr="007C0FC2">
        <w:rPr>
          <w:b/>
          <w:i/>
        </w:rPr>
        <w:t xml:space="preserve">laryngeal dystonia </w:t>
      </w:r>
      <w:r w:rsidRPr="007C0FC2">
        <w:t xml:space="preserve">needs </w:t>
      </w: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lorazepam</w:t>
      </w:r>
      <w:r w:rsidRPr="007C0FC2">
        <w:t xml:space="preserve"> / </w:t>
      </w: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diazepam</w:t>
      </w:r>
      <w:r w:rsidRPr="007C0FC2">
        <w:t xml:space="preserve"> (5-7.5 mg IM) &amp; intubation.</w:t>
      </w: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ervous5"/>
        <w:ind w:right="4252"/>
      </w:pPr>
      <w:bookmarkStart w:id="4" w:name="_Toc3203704"/>
      <w:r w:rsidRPr="007C0FC2">
        <w:t>Neuroleptic malignant syndrome</w:t>
      </w:r>
      <w:bookmarkEnd w:id="4"/>
    </w:p>
    <w:p w:rsidR="00C86EDD" w:rsidRPr="007C0FC2" w:rsidRDefault="00C86EDD">
      <w:pPr>
        <w:pStyle w:val="NormalWeb"/>
        <w:numPr>
          <w:ilvl w:val="0"/>
          <w:numId w:val="3"/>
        </w:numPr>
        <w:rPr>
          <w:szCs w:val="20"/>
        </w:rPr>
      </w:pPr>
      <w:r w:rsidRPr="007C0FC2">
        <w:rPr>
          <w:smallCaps/>
          <w:szCs w:val="20"/>
        </w:rPr>
        <w:t>prevalence</w:t>
      </w:r>
      <w:r w:rsidRPr="007C0FC2">
        <w:rPr>
          <w:szCs w:val="20"/>
        </w:rPr>
        <w:t xml:space="preserve"> (among patients receiving neuroleptics) &lt; 2%; most commonly young adults.</w:t>
      </w:r>
    </w:p>
    <w:p w:rsidR="00D34C7A" w:rsidRPr="007C0FC2" w:rsidRDefault="00D34C7A" w:rsidP="00D34C7A">
      <w:pPr>
        <w:numPr>
          <w:ilvl w:val="0"/>
          <w:numId w:val="3"/>
        </w:numPr>
        <w:shd w:val="clear" w:color="auto" w:fill="FFFFFF"/>
      </w:pPr>
      <w:r w:rsidRPr="007C0FC2">
        <w:t xml:space="preserve">pathogenesis is not completely understood (believed to be </w:t>
      </w:r>
      <w:r w:rsidRPr="007C0FC2">
        <w:rPr>
          <w:highlight w:val="yellow"/>
        </w:rPr>
        <w:t>blockade of D</w:t>
      </w:r>
      <w:r w:rsidRPr="007C0FC2">
        <w:rPr>
          <w:highlight w:val="yellow"/>
          <w:vertAlign w:val="subscript"/>
        </w:rPr>
        <w:t>2</w:t>
      </w:r>
      <w:r w:rsidRPr="007C0FC2">
        <w:rPr>
          <w:highlight w:val="yellow"/>
        </w:rPr>
        <w:t xml:space="preserve"> receptors</w:t>
      </w:r>
      <w:r w:rsidRPr="007C0FC2">
        <w:t>).</w:t>
      </w:r>
    </w:p>
    <w:p w:rsidR="00D34C7A" w:rsidRPr="007C0FC2" w:rsidRDefault="00D34C7A" w:rsidP="00D34C7A">
      <w:pPr>
        <w:numPr>
          <w:ilvl w:val="0"/>
          <w:numId w:val="3"/>
        </w:numPr>
        <w:shd w:val="clear" w:color="auto" w:fill="FFFFFF"/>
      </w:pPr>
      <w:r w:rsidRPr="007C0FC2">
        <w:t xml:space="preserve">associated with all groups of neuroleptics (esp. </w:t>
      </w:r>
      <w:r w:rsidRPr="007C0FC2">
        <w:rPr>
          <w:b/>
          <w:i/>
        </w:rPr>
        <w:t>high-potency</w:t>
      </w:r>
      <w:r w:rsidRPr="007C0FC2">
        <w:t xml:space="preserve"> agents [</w:t>
      </w:r>
      <w:r w:rsidRPr="007C0FC2">
        <w:rPr>
          <w:rStyle w:val="Drugname2Char"/>
          <w:lang w:val="en-US"/>
        </w:rPr>
        <w:t>haloperidol</w:t>
      </w:r>
      <w:r w:rsidRPr="007C0FC2">
        <w:t xml:space="preserve">, </w:t>
      </w:r>
      <w:r w:rsidRPr="007C0FC2">
        <w:rPr>
          <w:rStyle w:val="Drugname2Char"/>
          <w:lang w:val="en-US"/>
        </w:rPr>
        <w:t>fluphenazine</w:t>
      </w:r>
      <w:r w:rsidRPr="007C0FC2">
        <w:t xml:space="preserve">] and </w:t>
      </w:r>
      <w:r w:rsidRPr="007C0FC2">
        <w:rPr>
          <w:b/>
          <w:i/>
        </w:rPr>
        <w:t>depot forms</w:t>
      </w:r>
      <w:r w:rsidRPr="007C0FC2">
        <w:t xml:space="preserve">), even </w:t>
      </w:r>
      <w:r w:rsidRPr="007C0FC2">
        <w:rPr>
          <w:rStyle w:val="Drugname2Char"/>
          <w:lang w:val="en-US"/>
        </w:rPr>
        <w:t>clozapine</w:t>
      </w:r>
      <w:r w:rsidRPr="007C0FC2">
        <w:t>.</w:t>
      </w:r>
    </w:p>
    <w:p w:rsidR="00D34C7A" w:rsidRPr="007C0FC2" w:rsidRDefault="00D34C7A" w:rsidP="00D34C7A">
      <w:pPr>
        <w:numPr>
          <w:ilvl w:val="0"/>
          <w:numId w:val="3"/>
        </w:numPr>
        <w:shd w:val="clear" w:color="auto" w:fill="FFFFFF"/>
      </w:pPr>
      <w:r w:rsidRPr="007C0FC2">
        <w:rPr>
          <w:b/>
        </w:rPr>
        <w:t>men</w:t>
      </w:r>
      <w:r w:rsidRPr="007C0FC2">
        <w:t xml:space="preserve"> &gt; women 5-fold!</w:t>
      </w:r>
    </w:p>
    <w:p w:rsidR="00A25539" w:rsidRPr="007C0FC2" w:rsidRDefault="00C86EDD">
      <w:pPr>
        <w:pStyle w:val="NormalWeb"/>
        <w:numPr>
          <w:ilvl w:val="0"/>
          <w:numId w:val="3"/>
        </w:numPr>
        <w:rPr>
          <w:szCs w:val="20"/>
        </w:rPr>
      </w:pPr>
      <w:r w:rsidRPr="007C0FC2">
        <w:rPr>
          <w:szCs w:val="20"/>
        </w:rPr>
        <w:t xml:space="preserve">can develop at </w:t>
      </w:r>
      <w:r w:rsidRPr="007C0FC2">
        <w:rPr>
          <w:b/>
          <w:bCs/>
          <w:i/>
          <w:iCs/>
          <w:szCs w:val="20"/>
        </w:rPr>
        <w:t>any time</w:t>
      </w:r>
      <w:r w:rsidRPr="007C0FC2">
        <w:rPr>
          <w:szCs w:val="20"/>
        </w:rPr>
        <w:t xml:space="preserve"> during exposure to medication, but usually</w:t>
      </w:r>
      <w:r w:rsidR="00A25539" w:rsidRPr="007C0FC2">
        <w:rPr>
          <w:szCs w:val="20"/>
        </w:rPr>
        <w:t>:</w:t>
      </w:r>
    </w:p>
    <w:p w:rsidR="00C86EDD" w:rsidRPr="007C0FC2" w:rsidRDefault="00C86EDD" w:rsidP="00A25539">
      <w:pPr>
        <w:pStyle w:val="NormalWeb"/>
        <w:numPr>
          <w:ilvl w:val="0"/>
          <w:numId w:val="16"/>
        </w:numPr>
        <w:rPr>
          <w:szCs w:val="20"/>
        </w:rPr>
      </w:pPr>
      <w:r w:rsidRPr="007C0FC2">
        <w:rPr>
          <w:i/>
          <w:iCs/>
          <w:color w:val="FF0000"/>
          <w:szCs w:val="20"/>
        </w:rPr>
        <w:t>within first 30 days</w:t>
      </w:r>
      <w:r w:rsidRPr="007C0FC2">
        <w:rPr>
          <w:szCs w:val="20"/>
        </w:rPr>
        <w:t xml:space="preserve"> </w:t>
      </w:r>
      <w:r w:rsidR="00A25539" w:rsidRPr="007C0FC2">
        <w:t xml:space="preserve">(≈ 0.5-3% of all patients) </w:t>
      </w:r>
      <w:r w:rsidRPr="007C0FC2">
        <w:rPr>
          <w:szCs w:val="20"/>
        </w:rPr>
        <w:t>– idiosyncratic reaction.</w:t>
      </w:r>
    </w:p>
    <w:p w:rsidR="00A25539" w:rsidRPr="007C0FC2" w:rsidRDefault="00BC25BC" w:rsidP="00BC25BC">
      <w:pPr>
        <w:pStyle w:val="NormalWeb"/>
        <w:numPr>
          <w:ilvl w:val="0"/>
          <w:numId w:val="16"/>
        </w:numPr>
        <w:rPr>
          <w:szCs w:val="20"/>
        </w:rPr>
      </w:pPr>
      <w:r w:rsidRPr="007C0FC2">
        <w:t xml:space="preserve">after </w:t>
      </w:r>
      <w:r w:rsidRPr="007C0FC2">
        <w:rPr>
          <w:i/>
          <w:color w:val="FF0000"/>
        </w:rPr>
        <w:t>dosage increase</w:t>
      </w:r>
      <w:r w:rsidR="00A25539" w:rsidRPr="007C0FC2">
        <w:t xml:space="preserve"> (agitated male who received large and rapidly increased doses).</w:t>
      </w:r>
    </w:p>
    <w:p w:rsidR="00BC25BC" w:rsidRPr="007C0FC2" w:rsidRDefault="00BC25BC" w:rsidP="00A25539">
      <w:pPr>
        <w:pStyle w:val="NormalWeb"/>
        <w:numPr>
          <w:ilvl w:val="0"/>
          <w:numId w:val="14"/>
        </w:numPr>
        <w:rPr>
          <w:szCs w:val="20"/>
        </w:rPr>
      </w:pPr>
      <w:r w:rsidRPr="007C0FC2">
        <w:t>rare during maintenance treatment unless other condition such as dehydration, dopamine agonist withdrawal occur</w:t>
      </w:r>
      <w:r w:rsidR="00A91AAB" w:rsidRPr="007C0FC2">
        <w:t>s</w:t>
      </w:r>
      <w:r w:rsidRPr="007C0FC2">
        <w:t>.</w:t>
      </w:r>
    </w:p>
    <w:p w:rsidR="001E6B12" w:rsidRPr="007C0FC2" w:rsidRDefault="001E6B12" w:rsidP="001E6B12">
      <w:pPr>
        <w:pStyle w:val="NormalWeb"/>
      </w:pPr>
    </w:p>
    <w:p w:rsidR="001E6B12" w:rsidRPr="007C0FC2" w:rsidRDefault="001E6B12" w:rsidP="001E6B12">
      <w:pPr>
        <w:pStyle w:val="Nervous6"/>
      </w:pPr>
      <w:bookmarkStart w:id="5" w:name="_Toc3203705"/>
      <w:r w:rsidRPr="007C0FC2">
        <w:t>Clinical Features</w:t>
      </w:r>
      <w:bookmarkEnd w:id="5"/>
    </w:p>
    <w:p w:rsidR="00C86EDD" w:rsidRPr="007C0FC2" w:rsidRDefault="00C86EDD" w:rsidP="001E6B12">
      <w:pPr>
        <w:pStyle w:val="NormalWeb"/>
      </w:pPr>
      <w:r w:rsidRPr="007C0FC2">
        <w:rPr>
          <w:smallCaps/>
          <w:u w:val="single"/>
        </w:rPr>
        <w:t>Triad</w:t>
      </w:r>
      <w:r w:rsidRPr="007C0FC2">
        <w:t>:</w:t>
      </w:r>
      <w:r w:rsidR="00D34C7A" w:rsidRPr="007C0FC2">
        <w:tab/>
      </w:r>
      <w:r w:rsidR="00D34C7A" w:rsidRPr="007C0FC2">
        <w:tab/>
      </w:r>
      <w:r w:rsidR="001E6B12" w:rsidRPr="007C0FC2">
        <w:tab/>
      </w:r>
      <w:r w:rsidR="001E6B12" w:rsidRPr="007C0FC2">
        <w:tab/>
      </w:r>
      <w:r w:rsidR="001E6B12" w:rsidRPr="007C0FC2">
        <w:tab/>
      </w:r>
      <w:r w:rsidR="001E6B12" w:rsidRPr="007C0FC2">
        <w:tab/>
      </w:r>
      <w:r w:rsidR="00D34C7A" w:rsidRPr="007C0FC2">
        <w:t>NMS is clinical diagnosis!</w:t>
      </w:r>
    </w:p>
    <w:p w:rsidR="00C86EDD" w:rsidRPr="007C0FC2" w:rsidRDefault="00C86EDD" w:rsidP="001E6B12">
      <w:pPr>
        <w:pStyle w:val="NormalWeb"/>
        <w:numPr>
          <w:ilvl w:val="0"/>
          <w:numId w:val="4"/>
        </w:numPr>
        <w:spacing w:before="120"/>
      </w:pPr>
      <w:r w:rsidRPr="007C0FC2">
        <w:rPr>
          <w:b/>
          <w:bCs/>
          <w:smallCaps/>
          <w:color w:val="0000FF"/>
        </w:rPr>
        <w:t>hyperthermia</w:t>
      </w:r>
      <w:r w:rsidRPr="007C0FC2">
        <w:rPr>
          <w:szCs w:val="20"/>
        </w:rPr>
        <w:t xml:space="preserve"> </w:t>
      </w:r>
      <w:r w:rsidR="001E6B12" w:rsidRPr="007C0FC2">
        <w:t>(40% have &gt; 40°C)</w:t>
      </w:r>
      <w:r w:rsidR="001E6B12" w:rsidRPr="007C0FC2">
        <w:rPr>
          <w:szCs w:val="20"/>
        </w:rPr>
        <w:t xml:space="preserve"> → chronic cerebellar syndrome.</w:t>
      </w:r>
    </w:p>
    <w:p w:rsidR="00C86EDD" w:rsidRPr="007C0FC2" w:rsidRDefault="00C86EDD" w:rsidP="001E6B12">
      <w:pPr>
        <w:pStyle w:val="NormalWeb"/>
        <w:numPr>
          <w:ilvl w:val="0"/>
          <w:numId w:val="4"/>
        </w:numPr>
        <w:spacing w:before="120"/>
      </w:pPr>
      <w:r w:rsidRPr="007C0FC2">
        <w:rPr>
          <w:b/>
          <w:bCs/>
          <w:smallCaps/>
          <w:color w:val="0000FF"/>
        </w:rPr>
        <w:t xml:space="preserve">autonomic </w:t>
      </w:r>
      <w:r w:rsidRPr="007C0FC2">
        <w:rPr>
          <w:b/>
          <w:bCs/>
          <w:color w:val="0000FF"/>
        </w:rPr>
        <w:t>dysfunction</w:t>
      </w:r>
      <w:r w:rsidRPr="007C0FC2">
        <w:t xml:space="preserve"> (e.g. pallor, diaphoresis</w:t>
      </w:r>
      <w:r w:rsidR="00362F6D" w:rsidRPr="007C0FC2">
        <w:t xml:space="preserve"> out of proportion to temperature</w:t>
      </w:r>
      <w:r w:rsidRPr="007C0FC2">
        <w:t>, blood pressure instability, tachycardia, pulmonary congestion, tachypnea)</w:t>
      </w:r>
      <w:r w:rsidR="00362F6D" w:rsidRPr="007C0FC2">
        <w:t>.</w:t>
      </w:r>
    </w:p>
    <w:p w:rsidR="00C86EDD" w:rsidRPr="007C0FC2" w:rsidRDefault="00C86EDD" w:rsidP="001E6B12">
      <w:pPr>
        <w:pStyle w:val="NormalWeb"/>
        <w:numPr>
          <w:ilvl w:val="0"/>
          <w:numId w:val="4"/>
        </w:numPr>
        <w:spacing w:before="120"/>
      </w:pPr>
      <w:r w:rsidRPr="007C0FC2">
        <w:rPr>
          <w:b/>
          <w:bCs/>
          <w:smallCaps/>
          <w:color w:val="0000FF"/>
        </w:rPr>
        <w:t xml:space="preserve">movement </w:t>
      </w:r>
      <w:r w:rsidRPr="007C0FC2">
        <w:rPr>
          <w:b/>
          <w:bCs/>
          <w:color w:val="0000FF"/>
        </w:rPr>
        <w:t>disorder</w:t>
      </w:r>
      <w:r w:rsidRPr="007C0FC2">
        <w:t xml:space="preserve"> (e.g. </w:t>
      </w:r>
      <w:r w:rsidRPr="007C0FC2">
        <w:rPr>
          <w:b/>
        </w:rPr>
        <w:t>akinesia</w:t>
      </w:r>
      <w:r w:rsidRPr="007C0FC2">
        <w:t xml:space="preserve">, </w:t>
      </w:r>
      <w:r w:rsidR="00D34C7A" w:rsidRPr="007C0FC2">
        <w:t xml:space="preserve">“lead pipe” </w:t>
      </w:r>
      <w:r w:rsidRPr="007C0FC2">
        <w:rPr>
          <w:b/>
        </w:rPr>
        <w:t>rigidity</w:t>
      </w:r>
      <w:r w:rsidRPr="007C0FC2">
        <w:t xml:space="preserve">, </w:t>
      </w:r>
      <w:r w:rsidRPr="007C0FC2">
        <w:rPr>
          <w:b/>
        </w:rPr>
        <w:t>dystonia</w:t>
      </w:r>
      <w:r w:rsidRPr="007C0FC2">
        <w:t>) → CK↑, myoglobinuria → renal failure.</w:t>
      </w:r>
    </w:p>
    <w:p w:rsidR="00C86EDD" w:rsidRPr="007C0FC2" w:rsidRDefault="00C86EDD">
      <w:pPr>
        <w:pStyle w:val="NormalWeb"/>
        <w:rPr>
          <w:szCs w:val="20"/>
        </w:rPr>
      </w:pPr>
    </w:p>
    <w:p w:rsidR="00C86EDD" w:rsidRPr="007C0FC2" w:rsidRDefault="00C86EDD">
      <w:pPr>
        <w:pStyle w:val="NormalWeb"/>
        <w:ind w:left="340"/>
      </w:pPr>
      <w:r w:rsidRPr="007C0FC2">
        <w:rPr>
          <w:szCs w:val="20"/>
        </w:rPr>
        <w:t xml:space="preserve">+ </w:t>
      </w:r>
      <w:r w:rsidRPr="007C0FC2">
        <w:rPr>
          <w:b/>
          <w:bCs/>
          <w:color w:val="0000FF"/>
          <w:szCs w:val="20"/>
        </w:rPr>
        <w:t>altered mental status</w:t>
      </w:r>
      <w:r w:rsidRPr="007C0FC2">
        <w:rPr>
          <w:szCs w:val="20"/>
        </w:rPr>
        <w:t xml:space="preserve"> resembling </w:t>
      </w:r>
      <w:r w:rsidRPr="007C0FC2">
        <w:rPr>
          <w:b/>
          <w:szCs w:val="20"/>
        </w:rPr>
        <w:t>catatonia</w:t>
      </w:r>
      <w:r w:rsidRPr="007C0FC2">
        <w:t xml:space="preserve"> (eventually leading to </w:t>
      </w:r>
      <w:r w:rsidRPr="007C0FC2">
        <w:rPr>
          <w:b/>
        </w:rPr>
        <w:t>stupor</w:t>
      </w:r>
      <w:r w:rsidRPr="007C0FC2">
        <w:t xml:space="preserve"> or </w:t>
      </w:r>
      <w:r w:rsidRPr="007C0FC2">
        <w:rPr>
          <w:b/>
        </w:rPr>
        <w:t>coma</w:t>
      </w:r>
      <w:r w:rsidRPr="007C0FC2">
        <w:t>)</w:t>
      </w:r>
      <w:r w:rsidR="00362F6D" w:rsidRPr="007C0FC2">
        <w:t>.</w:t>
      </w:r>
    </w:p>
    <w:p w:rsidR="00362F6D" w:rsidRPr="007C0FC2" w:rsidRDefault="00362F6D" w:rsidP="00362F6D">
      <w:pPr>
        <w:pStyle w:val="NormalWeb"/>
      </w:pPr>
    </w:p>
    <w:p w:rsidR="00362F6D" w:rsidRPr="007C0FC2" w:rsidRDefault="00362F6D" w:rsidP="00362F6D">
      <w:pPr>
        <w:pStyle w:val="NormalWeb"/>
        <w:numPr>
          <w:ilvl w:val="0"/>
          <w:numId w:val="3"/>
        </w:numPr>
      </w:pPr>
      <w:r w:rsidRPr="007C0FC2">
        <w:t>full-blown syndrome develops rapidly over 1-2 days after period of gradual progressive rigidity.</w:t>
      </w:r>
    </w:p>
    <w:p w:rsidR="00362F6D" w:rsidRPr="007C0FC2" w:rsidRDefault="00362F6D" w:rsidP="00362F6D">
      <w:pPr>
        <w:numPr>
          <w:ilvl w:val="0"/>
          <w:numId w:val="3"/>
        </w:numPr>
        <w:shd w:val="clear" w:color="auto" w:fill="FFFFFF"/>
      </w:pPr>
      <w:r w:rsidRPr="007C0FC2">
        <w:t xml:space="preserve">≈ 40% patients develop life threatening medical complications (MI, aspiration pneumonia, respiratory failure, acidosis, rhabdomyolysis → renal failure, DIC) - </w:t>
      </w:r>
      <w:r w:rsidRPr="007C0FC2">
        <w:rPr>
          <w:b/>
          <w:color w:val="FF0000"/>
        </w:rPr>
        <w:t>mortality</w:t>
      </w:r>
      <w:r w:rsidRPr="007C0FC2">
        <w:rPr>
          <w:color w:val="FF0000"/>
        </w:rPr>
        <w:t xml:space="preserve"> 5-30%!</w:t>
      </w:r>
    </w:p>
    <w:p w:rsidR="00C86EDD" w:rsidRPr="007C0FC2" w:rsidRDefault="00C86EDD">
      <w:pPr>
        <w:pStyle w:val="NormalWeb"/>
      </w:pPr>
    </w:p>
    <w:p w:rsidR="00362F6D" w:rsidRPr="007C0FC2" w:rsidRDefault="00362F6D" w:rsidP="00362F6D">
      <w:pPr>
        <w:pStyle w:val="Nervous6"/>
        <w:ind w:right="8646"/>
      </w:pPr>
      <w:bookmarkStart w:id="6" w:name="_Toc3203706"/>
      <w:r w:rsidRPr="007C0FC2">
        <w:t>Diagnosis</w:t>
      </w:r>
      <w:bookmarkEnd w:id="6"/>
    </w:p>
    <w:p w:rsidR="00362F6D" w:rsidRPr="007C0FC2" w:rsidRDefault="00362F6D" w:rsidP="00362F6D">
      <w:pPr>
        <w:pStyle w:val="NormalWeb"/>
        <w:numPr>
          <w:ilvl w:val="0"/>
          <w:numId w:val="3"/>
        </w:numPr>
      </w:pPr>
      <w:r w:rsidRPr="007C0FC2">
        <w:rPr>
          <w:u w:val="single"/>
        </w:rPr>
        <w:t>laboratory</w:t>
      </w:r>
      <w:r w:rsidRPr="007C0FC2">
        <w:t xml:space="preserve">: </w:t>
      </w:r>
      <w:r w:rsidRPr="007C0FC2">
        <w:rPr>
          <w:color w:val="FF0000"/>
        </w:rPr>
        <w:t>myoglobinuria</w:t>
      </w:r>
      <w:r w:rsidRPr="007C0FC2">
        <w:t>, elevation of enzymes (</w:t>
      </w:r>
      <w:r w:rsidRPr="007C0FC2">
        <w:rPr>
          <w:color w:val="FF0000"/>
        </w:rPr>
        <w:t>CK</w:t>
      </w:r>
      <w:r w:rsidRPr="007C0FC2">
        <w:t xml:space="preserve"> [95%], aldolase, alkaline phosphatase, LDH, ALT, AST), </w:t>
      </w:r>
      <w:r w:rsidR="00A91AAB" w:rsidRPr="007C0FC2">
        <w:t>PMN</w:t>
      </w:r>
      <w:r w:rsidRPr="007C0FC2">
        <w:t xml:space="preserve"> </w:t>
      </w:r>
      <w:r w:rsidRPr="007C0FC2">
        <w:rPr>
          <w:color w:val="FF0000"/>
        </w:rPr>
        <w:t>leukocytosis</w:t>
      </w:r>
      <w:r w:rsidRPr="007C0FC2">
        <w:t xml:space="preserve"> [98%], hypocalcemia, hypomagnesemia, low iron, proteinuria.</w:t>
      </w:r>
    </w:p>
    <w:p w:rsidR="00362F6D" w:rsidRPr="007C0FC2" w:rsidRDefault="00362F6D" w:rsidP="00362F6D">
      <w:pPr>
        <w:pStyle w:val="NormalWeb"/>
        <w:numPr>
          <w:ilvl w:val="0"/>
          <w:numId w:val="3"/>
        </w:numPr>
      </w:pPr>
      <w:r w:rsidRPr="007C0FC2">
        <w:rPr>
          <w:u w:val="single"/>
        </w:rPr>
        <w:t>diagnosis confirmation</w:t>
      </w:r>
      <w:r w:rsidRPr="007C0FC2">
        <w:t xml:space="preserve"> - </w:t>
      </w:r>
      <w:r w:rsidRPr="007C0FC2">
        <w:rPr>
          <w:b/>
          <w:i/>
          <w:color w:val="0000FF"/>
        </w:rPr>
        <w:t>muscle biopsy</w:t>
      </w:r>
      <w:r w:rsidRPr="007C0FC2">
        <w:t xml:space="preserve"> (abnormal augmentation of in vitro muscle contraction after pretreatment with halothane).</w:t>
      </w:r>
    </w:p>
    <w:p w:rsidR="00362F6D" w:rsidRPr="007C0FC2" w:rsidRDefault="00362F6D" w:rsidP="00362F6D">
      <w:pPr>
        <w:pStyle w:val="NormalWeb"/>
        <w:numPr>
          <w:ilvl w:val="0"/>
          <w:numId w:val="3"/>
        </w:numPr>
      </w:pPr>
      <w:r w:rsidRPr="007C0FC2">
        <w:t>head CT and lumbar puncture are done if CNS cause is suspected.</w:t>
      </w:r>
    </w:p>
    <w:p w:rsidR="00362F6D" w:rsidRPr="007C0FC2" w:rsidRDefault="00362F6D">
      <w:pPr>
        <w:pStyle w:val="NormalWeb"/>
      </w:pPr>
    </w:p>
    <w:p w:rsidR="00C86EDD" w:rsidRPr="007C0FC2" w:rsidRDefault="00C86EDD">
      <w:pPr>
        <w:pStyle w:val="Nervous6"/>
        <w:ind w:right="8646"/>
      </w:pPr>
      <w:bookmarkStart w:id="7" w:name="_Toc3203707"/>
      <w:r w:rsidRPr="007C0FC2">
        <w:t>Treatment</w:t>
      </w:r>
      <w:bookmarkEnd w:id="7"/>
    </w:p>
    <w:p w:rsidR="00362F6D" w:rsidRPr="007C0FC2" w:rsidRDefault="00362F6D" w:rsidP="00362F6D">
      <w:pPr>
        <w:pStyle w:val="NormalWeb"/>
      </w:pPr>
      <w:r w:rsidRPr="007C0FC2">
        <w:t>- in ICU:</w:t>
      </w:r>
    </w:p>
    <w:p w:rsidR="00C86EDD" w:rsidRPr="007C0FC2" w:rsidRDefault="00C86EDD">
      <w:pPr>
        <w:pStyle w:val="NormalWeb"/>
        <w:numPr>
          <w:ilvl w:val="0"/>
          <w:numId w:val="5"/>
        </w:numPr>
      </w:pPr>
      <w:r w:rsidRPr="007C0FC2">
        <w:t xml:space="preserve">stop immediately offending medication (most often </w:t>
      </w:r>
      <w:r w:rsidRPr="007C0FC2">
        <w:rPr>
          <w:smallCaps/>
        </w:rPr>
        <w:t>haloperidol</w:t>
      </w:r>
      <w:r w:rsidRPr="007C0FC2">
        <w:t>).</w:t>
      </w:r>
    </w:p>
    <w:p w:rsidR="00C86EDD" w:rsidRPr="007C0FC2" w:rsidRDefault="00C86EDD">
      <w:pPr>
        <w:pStyle w:val="NormalWeb"/>
        <w:numPr>
          <w:ilvl w:val="0"/>
          <w:numId w:val="5"/>
        </w:numPr>
      </w:pPr>
      <w:r w:rsidRPr="007C0FC2">
        <w:t xml:space="preserve">intravenous </w:t>
      </w:r>
      <w:r w:rsidRPr="007C0FC2">
        <w:rPr>
          <w:b/>
          <w:bCs/>
          <w:i/>
          <w:iCs/>
        </w:rPr>
        <w:t>rehydration &amp; cooling</w:t>
      </w:r>
      <w:r w:rsidRPr="007C0FC2">
        <w:t>, antipyretics.</w:t>
      </w:r>
    </w:p>
    <w:p w:rsidR="00C86EDD" w:rsidRPr="007C0FC2" w:rsidRDefault="00C86EDD">
      <w:pPr>
        <w:pStyle w:val="NormalWeb"/>
        <w:numPr>
          <w:ilvl w:val="0"/>
          <w:numId w:val="5"/>
        </w:numPr>
      </w:pPr>
      <w:r w:rsidRPr="007C0FC2">
        <w:rPr>
          <w:szCs w:val="20"/>
        </w:rPr>
        <w:t>maintain blood pressure; monitor serum [K</w:t>
      </w:r>
      <w:r w:rsidRPr="007C0FC2">
        <w:rPr>
          <w:szCs w:val="20"/>
          <w:vertAlign w:val="superscript"/>
        </w:rPr>
        <w:t>+</w:t>
      </w:r>
      <w:r w:rsidRPr="007C0FC2">
        <w:rPr>
          <w:szCs w:val="20"/>
        </w:rPr>
        <w:t>].</w:t>
      </w:r>
    </w:p>
    <w:p w:rsidR="00BC5E4C" w:rsidRPr="007C0FC2" w:rsidRDefault="00BC5E4C">
      <w:pPr>
        <w:pStyle w:val="NormalWeb"/>
        <w:numPr>
          <w:ilvl w:val="0"/>
          <w:numId w:val="5"/>
        </w:numPr>
      </w:pPr>
      <w:r w:rsidRPr="007C0FC2">
        <w:rPr>
          <w:b/>
          <w:i/>
        </w:rPr>
        <w:t>dopamine agonist</w:t>
      </w:r>
      <w:r w:rsidRPr="007C0FC2">
        <w:t xml:space="preserve"> </w:t>
      </w: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bromocriptine</w:t>
      </w:r>
      <w:r w:rsidRPr="007C0FC2">
        <w:t xml:space="preserve"> (2.5-7.5 mg PO tid</w:t>
      </w:r>
      <w:r w:rsidR="006D7C44" w:rsidRPr="007C0FC2">
        <w:t>)</w:t>
      </w:r>
      <w:r w:rsidR="006D7C44" w:rsidRPr="007C0FC2">
        <w:rPr>
          <w:szCs w:val="20"/>
        </w:rPr>
        <w:t xml:space="preserve"> or another dopamine agonist (</w:t>
      </w:r>
      <w:r w:rsidR="006D7C44" w:rsidRPr="007C0FC2">
        <w:rPr>
          <w:smallCaps/>
          <w:szCs w:val="20"/>
        </w:rPr>
        <w:t>levodopa, amantadine</w:t>
      </w:r>
      <w:r w:rsidR="006D7C44" w:rsidRPr="007C0FC2">
        <w:rPr>
          <w:szCs w:val="20"/>
        </w:rPr>
        <w:t>).</w:t>
      </w:r>
    </w:p>
    <w:p w:rsidR="00C86EDD" w:rsidRPr="007C0FC2" w:rsidRDefault="00C86EDD">
      <w:pPr>
        <w:pStyle w:val="NormalWeb"/>
        <w:numPr>
          <w:ilvl w:val="0"/>
          <w:numId w:val="5"/>
        </w:numPr>
      </w:pP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dantrolene</w:t>
      </w:r>
      <w:r w:rsidRPr="007C0FC2">
        <w:t xml:space="preserve"> </w:t>
      </w:r>
      <w:r w:rsidR="00BC5E4C" w:rsidRPr="007C0FC2">
        <w:t>(1-3 mg/kg IV q4-6h)!!!</w:t>
      </w:r>
      <w:r w:rsidR="00D23AEF" w:rsidRPr="007C0FC2">
        <w:rPr>
          <w:b/>
          <w:i/>
        </w:rPr>
        <w:t xml:space="preserve"> </w:t>
      </w:r>
    </w:p>
    <w:p w:rsidR="00D23AEF" w:rsidRPr="007C0FC2" w:rsidRDefault="00D23AEF">
      <w:pPr>
        <w:pStyle w:val="NormalWeb"/>
        <w:numPr>
          <w:ilvl w:val="0"/>
          <w:numId w:val="5"/>
        </w:numPr>
      </w:pPr>
      <w:r w:rsidRPr="007C0FC2">
        <w:rPr>
          <w:b/>
          <w:i/>
        </w:rPr>
        <w:t>nondepolarizing muscle relaxants</w:t>
      </w:r>
      <w:r w:rsidRPr="007C0FC2">
        <w:t>.</w:t>
      </w:r>
    </w:p>
    <w:p w:rsidR="00D23AEF" w:rsidRPr="007C0FC2" w:rsidRDefault="00D23AEF" w:rsidP="00D23AEF">
      <w:pPr>
        <w:shd w:val="clear" w:color="auto" w:fill="FFFFFF"/>
        <w:ind w:left="2880"/>
      </w:pPr>
      <w:r w:rsidRPr="007C0FC2">
        <w:t xml:space="preserve">N.B. </w:t>
      </w:r>
      <w:r w:rsidRPr="007C0FC2">
        <w:rPr>
          <w:rStyle w:val="Nervous9Char"/>
        </w:rPr>
        <w:t>rigidity can be blocked with muscle relaxants (vs. malignant hyperthermia)!</w:t>
      </w:r>
    </w:p>
    <w:p w:rsidR="00C86EDD" w:rsidRPr="007C0FC2" w:rsidRDefault="00D23AEF">
      <w:pPr>
        <w:pStyle w:val="NormalWeb"/>
        <w:numPr>
          <w:ilvl w:val="0"/>
          <w:numId w:val="5"/>
        </w:numPr>
      </w:pPr>
      <w:r w:rsidRPr="007C0FC2">
        <w:t xml:space="preserve">supportive measures (ABC, evaporative cooling, alkaline diuresis); </w:t>
      </w:r>
      <w:r w:rsidR="00C86EDD" w:rsidRPr="007C0FC2">
        <w:rPr>
          <w:b/>
          <w:bCs/>
          <w:smallCaps/>
          <w:szCs w:val="20"/>
        </w:rPr>
        <w:t>heparin</w:t>
      </w:r>
      <w:r w:rsidR="00C86EDD" w:rsidRPr="007C0FC2">
        <w:rPr>
          <w:szCs w:val="20"/>
        </w:rPr>
        <w:t xml:space="preserve"> (to avoid pulmonary embolism).</w:t>
      </w:r>
    </w:p>
    <w:p w:rsidR="00C86EDD" w:rsidRPr="007C0FC2" w:rsidRDefault="00C86EDD">
      <w:pPr>
        <w:pStyle w:val="NormalWeb"/>
        <w:numPr>
          <w:ilvl w:val="0"/>
          <w:numId w:val="6"/>
        </w:numPr>
      </w:pPr>
      <w:r w:rsidRPr="007C0FC2">
        <w:rPr>
          <w:szCs w:val="20"/>
        </w:rPr>
        <w:t>recovery generally occurs over 2-3 weeks (most survivors recover completely).</w:t>
      </w:r>
    </w:p>
    <w:p w:rsidR="00362F6D" w:rsidRPr="007C0FC2" w:rsidRDefault="00362F6D">
      <w:pPr>
        <w:pStyle w:val="NormalWeb"/>
        <w:numPr>
          <w:ilvl w:val="0"/>
          <w:numId w:val="6"/>
        </w:numPr>
      </w:pPr>
      <w:r w:rsidRPr="007C0FC2">
        <w:t xml:space="preserve">NMS recurrence on restart ≈ 33%; if necessary to continue neuroleptics – switch to </w:t>
      </w:r>
      <w:r w:rsidRPr="007C0FC2">
        <w:rPr>
          <w:b/>
          <w:i/>
          <w:color w:val="008000"/>
        </w:rPr>
        <w:t>atypical agent</w:t>
      </w:r>
      <w:r w:rsidRPr="007C0FC2">
        <w:t>.</w:t>
      </w: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ormalWeb"/>
      </w:pPr>
    </w:p>
    <w:p w:rsidR="00C86EDD" w:rsidRPr="007C0FC2" w:rsidRDefault="00C86EDD" w:rsidP="00360033">
      <w:pPr>
        <w:pStyle w:val="Nervous5"/>
        <w:ind w:right="4535"/>
      </w:pPr>
      <w:bookmarkStart w:id="8" w:name="_Toc3203708"/>
      <w:r w:rsidRPr="007C0FC2">
        <w:t xml:space="preserve">Tardive dyskinesia </w:t>
      </w:r>
      <w:r w:rsidR="00360033" w:rsidRPr="007C0FC2">
        <w:t xml:space="preserve">(TD) </w:t>
      </w:r>
      <w:r w:rsidRPr="007C0FC2">
        <w:rPr>
          <w:caps w:val="0"/>
        </w:rPr>
        <w:t>syndromes</w:t>
      </w:r>
      <w:bookmarkEnd w:id="8"/>
    </w:p>
    <w:p w:rsidR="00C86EDD" w:rsidRPr="007C0FC2" w:rsidRDefault="00C86EDD">
      <w:pPr>
        <w:pStyle w:val="NormalWeb"/>
      </w:pPr>
      <w:r w:rsidRPr="007C0FC2">
        <w:t xml:space="preserve">- </w:t>
      </w:r>
      <w:r w:rsidRPr="007C0FC2">
        <w:rPr>
          <w:shd w:val="clear" w:color="auto" w:fill="FFCCFF"/>
        </w:rPr>
        <w:t>most feared complications because persistent and often permanent</w:t>
      </w:r>
      <w:r w:rsidR="0000678A" w:rsidRPr="007C0FC2">
        <w:t xml:space="preserve">* (persists after discontinuation of therapy and is </w:t>
      </w:r>
      <w:r w:rsidR="0000678A" w:rsidRPr="007C0FC2">
        <w:rPr>
          <w:color w:val="FF0000"/>
        </w:rPr>
        <w:t>irreversible</w:t>
      </w:r>
      <w:r w:rsidR="0000678A" w:rsidRPr="007C0FC2">
        <w:t xml:space="preserve"> in 66% patients – due to increased number of D receptors in response to long-term D receptor blockade).</w:t>
      </w:r>
    </w:p>
    <w:p w:rsidR="00C86EDD" w:rsidRPr="007C0FC2" w:rsidRDefault="0000678A" w:rsidP="0000678A">
      <w:pPr>
        <w:pStyle w:val="NormalWeb"/>
        <w:ind w:left="1440"/>
      </w:pPr>
      <w:r w:rsidRPr="007C0FC2">
        <w:t xml:space="preserve">* </w:t>
      </w:r>
      <w:r w:rsidRPr="007C0FC2">
        <w:rPr>
          <w:rStyle w:val="Nervous9Char"/>
        </w:rPr>
        <w:t>treatment with neuroleptics requires signed informed consent</w:t>
      </w:r>
      <w:r w:rsidRPr="007C0FC2">
        <w:t xml:space="preserve"> because of risk of irreversible tardive dyskinesia! (such consent is not required for antidepressants)</w:t>
      </w:r>
    </w:p>
    <w:p w:rsidR="0000678A" w:rsidRPr="007C0FC2" w:rsidRDefault="0000678A">
      <w:pPr>
        <w:pStyle w:val="NormalWeb"/>
      </w:pPr>
    </w:p>
    <w:p w:rsidR="00C86EDD" w:rsidRPr="007C0FC2" w:rsidRDefault="00C86EDD" w:rsidP="00C575DF">
      <w:pPr>
        <w:pStyle w:val="NormalWeb"/>
        <w:spacing w:after="120"/>
      </w:pPr>
      <w:r w:rsidRPr="007C0FC2">
        <w:t>Classic tardive dyskinesia, tardive dystonia, and tardive akathisia may occur together!</w:t>
      </w:r>
    </w:p>
    <w:p w:rsidR="00360033" w:rsidRPr="007C0FC2" w:rsidRDefault="00360033">
      <w:pPr>
        <w:pStyle w:val="NormalWeb"/>
        <w:numPr>
          <w:ilvl w:val="0"/>
          <w:numId w:val="7"/>
        </w:numPr>
        <w:rPr>
          <w:i/>
          <w:iCs/>
        </w:rPr>
      </w:pPr>
      <w:r w:rsidRPr="007C0FC2">
        <w:t>appears after several months ÷ years of treatment (</w:t>
      </w:r>
      <w:r w:rsidRPr="007C0FC2">
        <w:rPr>
          <w:b/>
          <w:i/>
        </w:rPr>
        <w:t>never before 3 months</w:t>
      </w:r>
      <w:r w:rsidRPr="007C0FC2">
        <w:t xml:space="preserve">; monitor patient at least q6mo with </w:t>
      </w:r>
      <w:r w:rsidRPr="007C0FC2">
        <w:rPr>
          <w:i/>
        </w:rPr>
        <w:t>Abnormal Involuntary Movement Scale</w:t>
      </w:r>
      <w:r w:rsidRPr="007C0FC2">
        <w:t>).</w:t>
      </w:r>
    </w:p>
    <w:p w:rsidR="00360033" w:rsidRPr="007C0FC2" w:rsidRDefault="00360033">
      <w:pPr>
        <w:pStyle w:val="NormalWeb"/>
        <w:numPr>
          <w:ilvl w:val="0"/>
          <w:numId w:val="7"/>
        </w:numPr>
        <w:rPr>
          <w:i/>
          <w:iCs/>
        </w:rPr>
      </w:pPr>
      <w:r w:rsidRPr="007C0FC2">
        <w:t>produced to same degree and frequency by all neuroleptics when used in equieffective doses!???</w:t>
      </w:r>
    </w:p>
    <w:p w:rsidR="00C86EDD" w:rsidRPr="007C0FC2" w:rsidRDefault="00360033">
      <w:pPr>
        <w:pStyle w:val="NormalWeb"/>
        <w:numPr>
          <w:ilvl w:val="0"/>
          <w:numId w:val="7"/>
        </w:numPr>
        <w:rPr>
          <w:i/>
          <w:iCs/>
        </w:rPr>
      </w:pPr>
      <w:r w:rsidRPr="007C0FC2">
        <w:t>once TD has appeared, its peak severity is reached rapidly and is often maintained.</w:t>
      </w:r>
    </w:p>
    <w:p w:rsidR="00360033" w:rsidRPr="007C0FC2" w:rsidRDefault="00360033" w:rsidP="001B44B1"/>
    <w:tbl>
      <w:tblPr>
        <w:tblW w:w="8196" w:type="dxa"/>
        <w:tblCellSpacing w:w="0" w:type="dxa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737"/>
        <w:gridCol w:w="3805"/>
        <w:gridCol w:w="1142"/>
      </w:tblGrid>
      <w:tr w:rsidR="001B44B1" w:rsidRPr="007C0FC2">
        <w:trPr>
          <w:tblCellSpacing w:w="0" w:type="dxa"/>
        </w:trPr>
        <w:tc>
          <w:tcPr>
            <w:tcW w:w="8196" w:type="dxa"/>
            <w:gridSpan w:val="4"/>
            <w:vAlign w:val="center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i/>
                <w:szCs w:val="24"/>
                <w:u w:val="single"/>
              </w:rPr>
              <w:t>Abnormal Involuntary Movement Scale</w:t>
            </w:r>
            <w:r w:rsidRPr="007C0FC2">
              <w:rPr>
                <w:szCs w:val="24"/>
              </w:rPr>
              <w:t>:</w:t>
            </w:r>
          </w:p>
        </w:tc>
      </w:tr>
      <w:tr w:rsidR="001B44B1" w:rsidRPr="007C0FC2">
        <w:trPr>
          <w:tblCellSpacing w:w="0" w:type="dxa"/>
        </w:trPr>
        <w:tc>
          <w:tcPr>
            <w:tcW w:w="8196" w:type="dxa"/>
            <w:gridSpan w:val="4"/>
          </w:tcPr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Observe gait on way into room.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Have patient remove gum or dentures, if ill-fitting.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Determine if patient is aware of any movements.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Have patient sit on firm, armless chair with hands on knees, legs slightly apart, and feet flat on floor. Now and throughout examination, look at entire body for movements.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Have patient sit with hands unsupported, dangling over knees.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Ask patient to open mouth twice. Look for tongue movements.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Ask patient to protrude tongue twice.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Ask patient to tap thumb against each finger for 15 sec with each hand. Observe face and legs.</w:t>
            </w:r>
          </w:p>
          <w:p w:rsidR="001B44B1" w:rsidRPr="007C0FC2" w:rsidRDefault="001B44B1" w:rsidP="00732291">
            <w:pPr>
              <w:numPr>
                <w:ilvl w:val="0"/>
                <w:numId w:val="15"/>
              </w:numPr>
              <w:rPr>
                <w:sz w:val="20"/>
              </w:rPr>
            </w:pPr>
            <w:r w:rsidRPr="007C0FC2">
              <w:rPr>
                <w:sz w:val="20"/>
              </w:rPr>
              <w:t>Have patient stand with arms extended forward.</w:t>
            </w:r>
          </w:p>
        </w:tc>
      </w:tr>
      <w:tr w:rsidR="001B44B1" w:rsidRPr="007C0FC2">
        <w:trPr>
          <w:tblCellSpacing w:w="0" w:type="dxa"/>
        </w:trPr>
        <w:tc>
          <w:tcPr>
            <w:tcW w:w="8196" w:type="dxa"/>
            <w:gridSpan w:val="4"/>
          </w:tcPr>
          <w:p w:rsidR="001B44B1" w:rsidRPr="007C0FC2" w:rsidRDefault="001B44B1" w:rsidP="001B44B1">
            <w:pPr>
              <w:spacing w:before="120" w:after="120"/>
              <w:rPr>
                <w:sz w:val="20"/>
              </w:rPr>
            </w:pPr>
            <w:r w:rsidRPr="007C0FC2">
              <w:rPr>
                <w:sz w:val="20"/>
              </w:rPr>
              <w:t>Rate each item on 0 to 4 scale for greatest severity observed. 0 = none; 1 = minimal, may be extreme normal; 2 = mild; 3 = moderate; 4 = severe. Movements that occur only on activation merit 1 point less than those that occur spontaneously.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>Facial and oral movements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Muscles of facial expression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Lips and perioral area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Jaw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Tongue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>Extremity movements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Arms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Legs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>Trunk movements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Neck, shoulders, hips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ind w:left="176"/>
              <w:rPr>
                <w:sz w:val="20"/>
              </w:rPr>
            </w:pPr>
            <w:r w:rsidRPr="007C0FC2">
              <w:rPr>
                <w:sz w:val="20"/>
              </w:rPr>
              <w:t>Global judgments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Severity of abnormal movements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Incapacitation due to abnormal movements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  <w:tr w:rsidR="001B44B1" w:rsidRPr="007C0FC2">
        <w:trPr>
          <w:tblCellSpacing w:w="0" w:type="dxa"/>
        </w:trPr>
        <w:tc>
          <w:tcPr>
            <w:tcW w:w="512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2737" w:type="dxa"/>
          </w:tcPr>
          <w:p w:rsidR="001B44B1" w:rsidRPr="007C0FC2" w:rsidRDefault="001B44B1" w:rsidP="00732291">
            <w:pPr>
              <w:rPr>
                <w:sz w:val="20"/>
              </w:rPr>
            </w:pPr>
            <w:r w:rsidRPr="007C0FC2">
              <w:rPr>
                <w:sz w:val="20"/>
              </w:rPr>
              <w:t xml:space="preserve"> </w:t>
            </w:r>
          </w:p>
        </w:tc>
        <w:tc>
          <w:tcPr>
            <w:tcW w:w="3805" w:type="dxa"/>
          </w:tcPr>
          <w:p w:rsidR="001B44B1" w:rsidRPr="007C0FC2" w:rsidRDefault="001B44B1" w:rsidP="00732291">
            <w:pPr>
              <w:ind w:left="91"/>
              <w:rPr>
                <w:sz w:val="20"/>
              </w:rPr>
            </w:pPr>
            <w:r w:rsidRPr="007C0FC2">
              <w:rPr>
                <w:sz w:val="20"/>
              </w:rPr>
              <w:t>Patient's awareness of abnormal movements (0 = unaware; 4 = severe distress)</w:t>
            </w:r>
          </w:p>
        </w:tc>
        <w:tc>
          <w:tcPr>
            <w:tcW w:w="1142" w:type="dxa"/>
          </w:tcPr>
          <w:p w:rsidR="001B44B1" w:rsidRPr="007C0FC2" w:rsidRDefault="001B44B1" w:rsidP="00732291">
            <w:pPr>
              <w:ind w:left="154"/>
              <w:rPr>
                <w:sz w:val="20"/>
              </w:rPr>
            </w:pPr>
            <w:r w:rsidRPr="007C0FC2">
              <w:rPr>
                <w:sz w:val="20"/>
              </w:rPr>
              <w:t>0 1 2 3 4</w:t>
            </w:r>
          </w:p>
        </w:tc>
      </w:tr>
    </w:tbl>
    <w:p w:rsidR="001B44B1" w:rsidRPr="007C0FC2" w:rsidRDefault="001B44B1" w:rsidP="001B44B1"/>
    <w:p w:rsidR="001B44B1" w:rsidRPr="007C0FC2" w:rsidRDefault="001B44B1" w:rsidP="001B44B1"/>
    <w:p w:rsidR="00C86EDD" w:rsidRPr="007C0FC2" w:rsidRDefault="00C86EDD">
      <w:pPr>
        <w:pStyle w:val="NormalWeb"/>
      </w:pPr>
      <w:r w:rsidRPr="007C0FC2">
        <w:rPr>
          <w:b/>
          <w:bCs/>
          <w:color w:val="0000FF"/>
          <w:u w:val="single"/>
        </w:rPr>
        <w:t xml:space="preserve">Classic </w:t>
      </w:r>
      <w:r w:rsidR="00FA28EE" w:rsidRPr="007C0FC2">
        <w:rPr>
          <w:b/>
          <w:bCs/>
          <w:color w:val="0000FF"/>
          <w:u w:val="single"/>
        </w:rPr>
        <w:t>TD</w:t>
      </w:r>
      <w:r w:rsidR="005E7E34" w:rsidRPr="007C0FC2">
        <w:rPr>
          <w:b/>
          <w:bCs/>
          <w:color w:val="0000FF"/>
          <w:u w:val="single"/>
        </w:rPr>
        <w:t xml:space="preserve"> (oral-buccal-lingual)</w:t>
      </w:r>
      <w:r w:rsidRPr="007C0FC2">
        <w:rPr>
          <w:color w:val="808080"/>
        </w:rPr>
        <w:t xml:space="preserve">    </w:t>
      </w:r>
      <w:hyperlink r:id="rId11" w:history="1">
        <w:r w:rsidR="00B90E33" w:rsidRPr="00B90E33">
          <w:rPr>
            <w:rStyle w:val="Hyperlink"/>
          </w:rPr>
          <w:t>see p. Mov1 &gt;&gt;</w:t>
        </w:r>
      </w:hyperlink>
    </w:p>
    <w:p w:rsidR="00C86EDD" w:rsidRPr="007C0FC2" w:rsidRDefault="00C86EDD">
      <w:pPr>
        <w:pStyle w:val="NormalWeb"/>
        <w:numPr>
          <w:ilvl w:val="0"/>
          <w:numId w:val="7"/>
        </w:numPr>
      </w:pPr>
      <w:r w:rsidRPr="007C0FC2">
        <w:t xml:space="preserve">prevalence increases with age and duration of treatment; more severe among </w:t>
      </w:r>
      <w:r w:rsidRPr="007C0FC2">
        <w:rPr>
          <w:b/>
          <w:color w:val="0000FF"/>
        </w:rPr>
        <w:t>elderly women</w:t>
      </w:r>
      <w:r w:rsidRPr="007C0FC2">
        <w:t>.</w:t>
      </w:r>
    </w:p>
    <w:p w:rsidR="00C86EDD" w:rsidRPr="007C0FC2" w:rsidRDefault="00C86EDD">
      <w:pPr>
        <w:pStyle w:val="NormalWeb"/>
        <w:numPr>
          <w:ilvl w:val="0"/>
          <w:numId w:val="7"/>
        </w:numPr>
      </w:pPr>
      <w:r w:rsidRPr="007C0FC2">
        <w:rPr>
          <w:szCs w:val="20"/>
        </w:rPr>
        <w:t>requires exposure for at least 6 months and may persist indefinitely.</w:t>
      </w:r>
    </w:p>
    <w:p w:rsidR="00C86EDD" w:rsidRPr="007C0FC2" w:rsidRDefault="00C86EDD">
      <w:pPr>
        <w:pStyle w:val="NormalWeb"/>
        <w:ind w:left="1440"/>
      </w:pPr>
      <w:r w:rsidRPr="007C0FC2">
        <w:rPr>
          <w:szCs w:val="20"/>
        </w:rPr>
        <w:t>N.B. tardive dyskinesia does not always occur!</w:t>
      </w:r>
    </w:p>
    <w:p w:rsidR="00C86EDD" w:rsidRPr="007C0FC2" w:rsidRDefault="00C86EDD">
      <w:pPr>
        <w:pStyle w:val="NormalWeb"/>
        <w:numPr>
          <w:ilvl w:val="0"/>
          <w:numId w:val="7"/>
        </w:numPr>
      </w:pPr>
      <w:r w:rsidRPr="007C0FC2">
        <w:rPr>
          <w:i/>
          <w:iCs/>
          <w:color w:val="FF0000"/>
        </w:rPr>
        <w:t>time of onset is difficult to discern</w:t>
      </w:r>
      <w:r w:rsidRPr="007C0FC2">
        <w:t xml:space="preserve"> because these drugs mask movements!</w:t>
      </w:r>
    </w:p>
    <w:p w:rsidR="00C86EDD" w:rsidRPr="007C0FC2" w:rsidRDefault="00C86EDD">
      <w:pPr>
        <w:pStyle w:val="NormalWeb"/>
        <w:numPr>
          <w:ilvl w:val="1"/>
          <w:numId w:val="7"/>
        </w:numPr>
      </w:pPr>
      <w:r w:rsidRPr="007C0FC2">
        <w:t>reducing dosage / discontinuing drug can unmask disorder.</w:t>
      </w:r>
    </w:p>
    <w:p w:rsidR="00C86EDD" w:rsidRPr="007C0FC2" w:rsidRDefault="00C86EDD">
      <w:pPr>
        <w:pStyle w:val="NormalWeb"/>
        <w:numPr>
          <w:ilvl w:val="1"/>
          <w:numId w:val="7"/>
        </w:numPr>
      </w:pPr>
      <w:r w:rsidRPr="007C0FC2">
        <w:t>reinstituting drug can suppress movements.</w:t>
      </w:r>
    </w:p>
    <w:p w:rsidR="00C86EDD" w:rsidRPr="007C0FC2" w:rsidRDefault="00C86EDD">
      <w:pPr>
        <w:pStyle w:val="NormalWeb"/>
        <w:ind w:left="567" w:hanging="567"/>
      </w:pPr>
      <w:r w:rsidRPr="007C0FC2">
        <w:t xml:space="preserve">N.B. for diagnosis of tardive dyskinesia, symptoms should have started while patient was </w:t>
      </w:r>
      <w:r w:rsidRPr="007C0FC2">
        <w:rPr>
          <w:i/>
          <w:iCs/>
          <w:color w:val="0000FF"/>
        </w:rPr>
        <w:t>still taking</w:t>
      </w:r>
      <w:r w:rsidRPr="007C0FC2">
        <w:t xml:space="preserve"> </w:t>
      </w:r>
      <w:r w:rsidRPr="007C0FC2">
        <w:rPr>
          <w:b/>
          <w:bCs/>
        </w:rPr>
        <w:t>D</w:t>
      </w:r>
      <w:r w:rsidRPr="007C0FC2">
        <w:rPr>
          <w:b/>
          <w:bCs/>
          <w:vertAlign w:val="subscript"/>
        </w:rPr>
        <w:t>2</w:t>
      </w:r>
      <w:r w:rsidRPr="007C0FC2">
        <w:rPr>
          <w:b/>
          <w:bCs/>
        </w:rPr>
        <w:t>-blocking drug</w:t>
      </w:r>
      <w:r w:rsidRPr="007C0FC2">
        <w:t xml:space="preserve"> or </w:t>
      </w:r>
      <w:r w:rsidRPr="007C0FC2">
        <w:rPr>
          <w:i/>
          <w:iCs/>
          <w:color w:val="0000FF"/>
        </w:rPr>
        <w:t>less than 3 months after</w:t>
      </w:r>
      <w:r w:rsidRPr="007C0FC2">
        <w:t xml:space="preserve"> discontinuing drug.</w:t>
      </w:r>
    </w:p>
    <w:p w:rsidR="00C86EDD" w:rsidRPr="007C0FC2" w:rsidRDefault="00C86EDD">
      <w:pPr>
        <w:pStyle w:val="NormalWeb"/>
      </w:pPr>
      <w:r w:rsidRPr="007C0FC2">
        <w:t xml:space="preserve">If oral dyskinesia is induced by </w:t>
      </w:r>
      <w:r w:rsidRPr="007C0FC2">
        <w:rPr>
          <w:b/>
          <w:bCs/>
        </w:rPr>
        <w:t>other types of drugs</w:t>
      </w:r>
      <w:r w:rsidRPr="007C0FC2">
        <w:t>, it is not, by definition, tardive dyskinesia!</w:t>
      </w: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ormalWeb"/>
        <w:spacing w:after="120"/>
      </w:pPr>
      <w:r w:rsidRPr="007C0FC2">
        <w:rPr>
          <w:u w:val="single"/>
        </w:rPr>
        <w:t>Major differential diagnoses</w:t>
      </w:r>
      <w:r w:rsidRPr="007C0FC2">
        <w:t xml:space="preserve"> of </w:t>
      </w:r>
      <w:r w:rsidRPr="007C0FC2">
        <w:rPr>
          <w:smallCaps/>
        </w:rPr>
        <w:t>oral dyskinesias</w:t>
      </w:r>
      <w:r w:rsidRPr="007C0FC2"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415"/>
        <w:gridCol w:w="2237"/>
        <w:gridCol w:w="2237"/>
        <w:gridCol w:w="2017"/>
      </w:tblGrid>
      <w:tr w:rsidR="00C86EDD" w:rsidRPr="007C0FC2">
        <w:trPr>
          <w:tblHeader/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86EDD" w:rsidRPr="007C0FC2" w:rsidRDefault="00C86EDD">
            <w:pPr>
              <w:jc w:val="center"/>
              <w:rPr>
                <w:b/>
                <w:bCs/>
                <w:sz w:val="22"/>
                <w:szCs w:val="24"/>
              </w:rPr>
            </w:pPr>
            <w:r w:rsidRPr="007C0FC2">
              <w:rPr>
                <w:b/>
                <w:bCs/>
                <w:sz w:val="22"/>
              </w:rPr>
              <w:t xml:space="preserve">Clinical Signs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86EDD" w:rsidRPr="007C0FC2" w:rsidRDefault="00C86EDD">
            <w:pPr>
              <w:jc w:val="center"/>
              <w:rPr>
                <w:b/>
                <w:bCs/>
                <w:sz w:val="22"/>
                <w:szCs w:val="24"/>
              </w:rPr>
            </w:pPr>
            <w:r w:rsidRPr="007C0FC2">
              <w:rPr>
                <w:b/>
                <w:bCs/>
                <w:sz w:val="22"/>
              </w:rPr>
              <w:t>Classic Tardive Dyskinesia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86EDD" w:rsidRPr="007C0FC2" w:rsidRDefault="00C86EDD">
            <w:pPr>
              <w:jc w:val="center"/>
              <w:rPr>
                <w:b/>
                <w:bCs/>
                <w:sz w:val="22"/>
                <w:szCs w:val="24"/>
              </w:rPr>
            </w:pPr>
            <w:r w:rsidRPr="007C0FC2">
              <w:rPr>
                <w:b/>
                <w:bCs/>
                <w:sz w:val="22"/>
              </w:rPr>
              <w:t xml:space="preserve">Meige syndrome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86EDD" w:rsidRPr="007C0FC2" w:rsidRDefault="00C86EDD">
            <w:pPr>
              <w:jc w:val="center"/>
              <w:rPr>
                <w:b/>
                <w:bCs/>
                <w:sz w:val="22"/>
                <w:szCs w:val="24"/>
              </w:rPr>
            </w:pPr>
            <w:r w:rsidRPr="007C0FC2">
              <w:rPr>
                <w:b/>
                <w:bCs/>
                <w:sz w:val="22"/>
              </w:rPr>
              <w:t>Huntington disease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Type of involuntary movements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stereotypic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dystonic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choreic 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Flowing movements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Repetitive movements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Sustained contractions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Forehead chorea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Blepharospasm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Movements of mouth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Masticatory muscles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</w:tr>
      <w:tr w:rsidR="00C86EDD" w:rsidRPr="007C0FC2">
        <w:trPr>
          <w:cantSplit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 w:rsidP="00C367D8">
            <w:pPr>
              <w:ind w:left="720"/>
              <w:rPr>
                <w:sz w:val="22"/>
              </w:rPr>
            </w:pPr>
            <w:r w:rsidRPr="007C0FC2">
              <w:rPr>
                <w:sz w:val="22"/>
              </w:rPr>
              <w:t>Effect on: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right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  talking, chewing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right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  swallowing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Platysma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Nuchal muscles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Trunk, legs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Akathisia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>Motor impersistence (tongue, grip)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Stuttering, ataxic gait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Postural instability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0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+++</w:t>
            </w:r>
          </w:p>
        </w:tc>
      </w:tr>
      <w:tr w:rsidR="00C86EDD" w:rsidRPr="007C0FC2">
        <w:trPr>
          <w:cantSplit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 w:rsidP="00C367D8">
            <w:pPr>
              <w:ind w:left="720"/>
              <w:rPr>
                <w:sz w:val="22"/>
                <w:szCs w:val="22"/>
              </w:rPr>
            </w:pPr>
            <w:r w:rsidRPr="007C0FC2">
              <w:rPr>
                <w:sz w:val="22"/>
                <w:szCs w:val="22"/>
              </w:rPr>
              <w:t>Effect of:</w:t>
            </w:r>
          </w:p>
        </w:tc>
      </w:tr>
      <w:tr w:rsidR="00C86EDD" w:rsidRPr="007C0FC2">
        <w:trPr>
          <w:cantSplit/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right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  antidopaminergics </w:t>
            </w:r>
          </w:p>
        </w:tc>
        <w:tc>
          <w:tcPr>
            <w:tcW w:w="32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decrease </w:t>
            </w:r>
          </w:p>
        </w:tc>
      </w:tr>
      <w:tr w:rsidR="00C86EDD" w:rsidRPr="007C0FC2">
        <w:trPr>
          <w:tblCellSpacing w:w="0" w:type="dxa"/>
        </w:trPr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right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  anticholinergics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increase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 xml:space="preserve">decrease 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EDD" w:rsidRPr="007C0FC2" w:rsidRDefault="00C86EDD">
            <w:pPr>
              <w:jc w:val="center"/>
              <w:rPr>
                <w:sz w:val="22"/>
                <w:szCs w:val="24"/>
              </w:rPr>
            </w:pPr>
            <w:r w:rsidRPr="007C0FC2">
              <w:rPr>
                <w:sz w:val="22"/>
              </w:rPr>
              <w:t>±</w:t>
            </w:r>
          </w:p>
        </w:tc>
      </w:tr>
    </w:tbl>
    <w:p w:rsidR="00C86EDD" w:rsidRPr="007C0FC2" w:rsidRDefault="00C86EDD">
      <w:pPr>
        <w:pStyle w:val="NormalWeb"/>
      </w:pPr>
      <w:r w:rsidRPr="007C0FC2">
        <w:br/>
      </w:r>
    </w:p>
    <w:p w:rsidR="00C86EDD" w:rsidRPr="007C0FC2" w:rsidRDefault="00C86EDD">
      <w:pPr>
        <w:pStyle w:val="NormalWeb"/>
      </w:pPr>
      <w:r w:rsidRPr="007C0FC2">
        <w:rPr>
          <w:b/>
          <w:bCs/>
          <w:color w:val="0000FF"/>
          <w:u w:val="single"/>
        </w:rPr>
        <w:t>Tardive dystonia</w:t>
      </w:r>
    </w:p>
    <w:p w:rsidR="00C86EDD" w:rsidRPr="007C0FC2" w:rsidRDefault="00C86EDD">
      <w:pPr>
        <w:pStyle w:val="NormalWeb"/>
        <w:numPr>
          <w:ilvl w:val="0"/>
          <w:numId w:val="8"/>
        </w:numPr>
      </w:pPr>
      <w:r w:rsidRPr="007C0FC2">
        <w:t>younger individuals have more severe generalized form.</w:t>
      </w:r>
    </w:p>
    <w:p w:rsidR="00C86EDD" w:rsidRPr="007C0FC2" w:rsidRDefault="00C86EDD">
      <w:pPr>
        <w:pStyle w:val="NormalWeb"/>
        <w:numPr>
          <w:ilvl w:val="0"/>
          <w:numId w:val="8"/>
        </w:numPr>
      </w:pPr>
      <w:r w:rsidRPr="007C0FC2">
        <w:rPr>
          <w:u w:val="single"/>
        </w:rPr>
        <w:t>begins</w:t>
      </w:r>
      <w:r w:rsidRPr="007C0FC2">
        <w:t xml:space="preserve"> focally in </w:t>
      </w:r>
      <w:r w:rsidRPr="007C0FC2">
        <w:rPr>
          <w:b/>
          <w:bCs/>
        </w:rPr>
        <w:t>face</w:t>
      </w:r>
      <w:r w:rsidRPr="007C0FC2">
        <w:t xml:space="preserve"> (blepharospasm, oromandibular dystonia) or </w:t>
      </w:r>
      <w:r w:rsidRPr="007C0FC2">
        <w:rPr>
          <w:b/>
          <w:bCs/>
        </w:rPr>
        <w:t>neck</w:t>
      </w:r>
      <w:r w:rsidRPr="007C0FC2">
        <w:t xml:space="preserve"> (retrocollis); may </w:t>
      </w:r>
      <w:r w:rsidRPr="007C0FC2">
        <w:rPr>
          <w:u w:val="single"/>
        </w:rPr>
        <w:t>spread</w:t>
      </w:r>
      <w:r w:rsidRPr="007C0FC2">
        <w:t xml:space="preserve"> to </w:t>
      </w:r>
      <w:r w:rsidRPr="007C0FC2">
        <w:rPr>
          <w:b/>
          <w:bCs/>
        </w:rPr>
        <w:t>arms</w:t>
      </w:r>
      <w:r w:rsidRPr="007C0FC2">
        <w:t xml:space="preserve"> (typically rotated internally, elbows extended, and wrists flexed) and </w:t>
      </w:r>
      <w:r w:rsidRPr="007C0FC2">
        <w:rPr>
          <w:b/>
          <w:bCs/>
        </w:rPr>
        <w:t>trunk</w:t>
      </w:r>
      <w:r w:rsidRPr="007C0FC2">
        <w:t xml:space="preserve"> (arches backward); legs are affected infrequently.</w:t>
      </w:r>
    </w:p>
    <w:p w:rsidR="00C86EDD" w:rsidRPr="007C0FC2" w:rsidRDefault="00C86EDD">
      <w:pPr>
        <w:pStyle w:val="NormalWeb"/>
        <w:numPr>
          <w:ilvl w:val="0"/>
          <w:numId w:val="8"/>
        </w:numPr>
      </w:pPr>
      <w:r w:rsidRPr="007C0FC2">
        <w:rPr>
          <w:szCs w:val="20"/>
        </w:rPr>
        <w:t>resolves spontaneously in children or young adults but frequently persists in older individuals.</w:t>
      </w: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ormalWeb"/>
      </w:pPr>
      <w:r w:rsidRPr="007C0FC2">
        <w:t xml:space="preserve">N.B. </w:t>
      </w:r>
      <w:r w:rsidRPr="007C0FC2">
        <w:rPr>
          <w:color w:val="FF0000"/>
        </w:rPr>
        <w:t>Wilson disease</w:t>
      </w:r>
      <w:r w:rsidRPr="007C0FC2">
        <w:t xml:space="preserve"> must be excluded in any patient with </w:t>
      </w:r>
      <w:r w:rsidRPr="007C0FC2">
        <w:rPr>
          <w:i/>
          <w:iCs/>
        </w:rPr>
        <w:t>psychiatric symptoms + dystonia</w:t>
      </w:r>
      <w:r w:rsidRPr="007C0FC2">
        <w:t>!</w:t>
      </w: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ormalWeb"/>
      </w:pPr>
    </w:p>
    <w:p w:rsidR="00C86EDD" w:rsidRPr="007C0FC2" w:rsidRDefault="00C86EDD">
      <w:pPr>
        <w:pStyle w:val="Nervous6"/>
        <w:ind w:right="5953"/>
      </w:pPr>
      <w:bookmarkStart w:id="9" w:name="_Toc3203709"/>
      <w:r w:rsidRPr="007C0FC2">
        <w:t>Treatment of tardive dyskinesias</w:t>
      </w:r>
      <w:bookmarkEnd w:id="9"/>
    </w:p>
    <w:p w:rsidR="00C86EDD" w:rsidRPr="007C0FC2" w:rsidRDefault="00C86EDD">
      <w:pPr>
        <w:pStyle w:val="NormalWeb"/>
        <w:spacing w:before="120" w:after="120"/>
      </w:pPr>
      <w:r w:rsidRPr="007C0FC2">
        <w:rPr>
          <w:szCs w:val="20"/>
        </w:rPr>
        <w:t>Treatment of established disorder is often unsatisfactory!</w:t>
      </w:r>
    </w:p>
    <w:p w:rsidR="00C86EDD" w:rsidRPr="007C0FC2" w:rsidRDefault="00C86EDD">
      <w:pPr>
        <w:pStyle w:val="NormalWeb"/>
        <w:numPr>
          <w:ilvl w:val="0"/>
          <w:numId w:val="9"/>
        </w:numPr>
      </w:pPr>
      <w:r w:rsidRPr="007C0FC2">
        <w:t xml:space="preserve">if possible, </w:t>
      </w:r>
      <w:r w:rsidRPr="007C0FC2">
        <w:rPr>
          <w:b/>
          <w:bCs/>
          <w:color w:val="0000FF"/>
        </w:rPr>
        <w:t>stop offending drug</w:t>
      </w:r>
      <w:r w:rsidRPr="007C0FC2">
        <w:t xml:space="preserve"> (dyskinesia may slowly subside in months or years);</w:t>
      </w:r>
    </w:p>
    <w:p w:rsidR="00C86EDD" w:rsidRPr="007C0FC2" w:rsidRDefault="00C86EDD">
      <w:pPr>
        <w:pStyle w:val="NormalWeb"/>
        <w:ind w:left="340"/>
      </w:pPr>
      <w:r w:rsidRPr="007C0FC2">
        <w:t>if offending drug is required</w:t>
      </w:r>
      <w:r w:rsidR="00FA28EE" w:rsidRPr="007C0FC2">
        <w:t xml:space="preserve"> </w:t>
      </w:r>
      <w:r w:rsidR="00FA28EE" w:rsidRPr="007C0FC2">
        <w:rPr>
          <w:b/>
          <w:i/>
        </w:rPr>
        <w:t>change to atypical neuroleptic</w:t>
      </w:r>
      <w:r w:rsidR="00FA28EE" w:rsidRPr="007C0FC2">
        <w:t xml:space="preserve"> or</w:t>
      </w:r>
      <w:r w:rsidRPr="007C0FC2">
        <w:t xml:space="preserve"> </w:t>
      </w:r>
      <w:r w:rsidRPr="007C0FC2">
        <w:rPr>
          <w:b/>
          <w:bCs/>
          <w:color w:val="0000FF"/>
        </w:rPr>
        <w:t>increase dosage</w:t>
      </w:r>
      <w:r w:rsidRPr="007C0FC2">
        <w:t xml:space="preserve"> (to suppress dyskinesia</w:t>
      </w:r>
      <w:r w:rsidR="005E7E34" w:rsidRPr="007C0FC2">
        <w:t xml:space="preserve"> - temporary improvement by increasing dopamine-receptor blockade, however, this ultimately causes further progression of TD</w:t>
      </w:r>
      <w:r w:rsidRPr="007C0FC2">
        <w:t>).</w:t>
      </w:r>
    </w:p>
    <w:p w:rsidR="00C86EDD" w:rsidRPr="007C0FC2" w:rsidRDefault="00C86EDD">
      <w:pPr>
        <w:pStyle w:val="NormalWeb"/>
        <w:numPr>
          <w:ilvl w:val="0"/>
          <w:numId w:val="9"/>
        </w:numPr>
      </w:pPr>
      <w:r w:rsidRPr="007C0FC2">
        <w:t>add dopamine-depleting drug (</w:t>
      </w: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reserpine</w:t>
      </w:r>
      <w:r w:rsidRPr="007C0FC2">
        <w:t xml:space="preserve">, </w:t>
      </w:r>
      <w:r w:rsidRPr="004B0440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tetrabenazine</w:t>
      </w:r>
      <w:r w:rsidR="004E412C">
        <w:t xml:space="preserve">) - </w:t>
      </w:r>
      <w:r w:rsidRPr="007C0FC2">
        <w:t xml:space="preserve">most effective drugs for symptomatic treatment!!!; with time, </w:t>
      </w:r>
      <w:r w:rsidR="004E412C">
        <w:t xml:space="preserve">may be tapered and discontinued; </w:t>
      </w:r>
      <w:r w:rsidR="004E412C" w:rsidRPr="004E412C">
        <w:rPr>
          <w:rStyle w:val="Drugname2Char"/>
        </w:rPr>
        <w:t>valbenazine</w:t>
      </w:r>
      <w:r w:rsidR="004E412C" w:rsidRPr="004E412C">
        <w:t xml:space="preserve"> </w:t>
      </w:r>
      <w:r w:rsidR="00807E15">
        <w:t xml:space="preserve">(Ingrezza®) </w:t>
      </w:r>
      <w:r w:rsidR="004E412C">
        <w:t>– FDA approved</w:t>
      </w:r>
      <w:r w:rsidR="004E412C" w:rsidRPr="004E412C">
        <w:t xml:space="preserve"> for tardive dyskinesia</w:t>
      </w:r>
      <w:r w:rsidR="004E412C">
        <w:t>.</w:t>
      </w:r>
    </w:p>
    <w:p w:rsidR="00C86EDD" w:rsidRPr="007C0FC2" w:rsidRDefault="00C86EDD">
      <w:pPr>
        <w:pStyle w:val="NormalWeb"/>
        <w:numPr>
          <w:ilvl w:val="0"/>
          <w:numId w:val="9"/>
        </w:numPr>
      </w:pPr>
      <w:r w:rsidRPr="007C0FC2">
        <w:rPr>
          <w:b/>
          <w:bCs/>
          <w:smallCaps/>
        </w:rPr>
        <w:t>tardive dystonia</w:t>
      </w:r>
      <w:r w:rsidRPr="007C0FC2">
        <w:t xml:space="preserve"> may be treated with </w:t>
      </w:r>
      <w:r w:rsidRPr="004B0440">
        <w:rPr>
          <w:b/>
          <w:bC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anticholinergics</w:t>
      </w:r>
      <w:r w:rsidRPr="007C0FC2">
        <w:t>!</w:t>
      </w:r>
    </w:p>
    <w:p w:rsidR="00C86EDD" w:rsidRPr="007C0FC2" w:rsidRDefault="00C86EDD">
      <w:pPr>
        <w:pStyle w:val="NormalWeb"/>
        <w:ind w:left="340"/>
      </w:pPr>
      <w:r w:rsidRPr="007C0FC2">
        <w:t xml:space="preserve">vs. </w:t>
      </w:r>
      <w:r w:rsidRPr="007C0FC2">
        <w:rPr>
          <w:b/>
          <w:bCs/>
          <w:smallCaps/>
        </w:rPr>
        <w:t xml:space="preserve">tardive dyskinesia </w:t>
      </w:r>
      <w:r w:rsidRPr="007C0FC2">
        <w:t>and</w:t>
      </w:r>
      <w:r w:rsidRPr="007C0FC2">
        <w:rPr>
          <w:b/>
          <w:bCs/>
          <w:smallCaps/>
        </w:rPr>
        <w:t xml:space="preserve"> akathisia</w:t>
      </w:r>
      <w:r w:rsidRPr="007C0FC2">
        <w:t xml:space="preserve"> – with </w:t>
      </w:r>
      <w:r w:rsidRPr="004B0440">
        <w:rPr>
          <w:b/>
          <w:bC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cholinergics</w:t>
      </w:r>
      <w:r w:rsidRPr="007C0FC2">
        <w:t>.</w:t>
      </w:r>
    </w:p>
    <w:p w:rsidR="00C86EDD" w:rsidRPr="007C0FC2" w:rsidRDefault="00C86EDD" w:rsidP="0000678A"/>
    <w:p w:rsidR="00021238" w:rsidRPr="007C0FC2" w:rsidRDefault="00021238" w:rsidP="00FA28EE">
      <w:pPr>
        <w:shd w:val="clear" w:color="auto" w:fill="FFFFFF"/>
        <w:ind w:left="720"/>
      </w:pPr>
      <w:r w:rsidRPr="007C0FC2">
        <w:t>N.B. TD may worsen following neuroleptic withdrawal or addition of anticholinergic drug! H: dopamine depleters</w:t>
      </w:r>
      <w:r w:rsidR="005E7E34" w:rsidRPr="007C0FC2">
        <w:t>.</w:t>
      </w:r>
    </w:p>
    <w:p w:rsidR="00021238" w:rsidRDefault="00021238" w:rsidP="0000678A"/>
    <w:p w:rsidR="004E412C" w:rsidRPr="007C0FC2" w:rsidRDefault="004E412C" w:rsidP="0000678A"/>
    <w:p w:rsidR="00C86EDD" w:rsidRPr="007C0FC2" w:rsidRDefault="00C86EDD" w:rsidP="0000678A"/>
    <w:p w:rsidR="00C86EDD" w:rsidRPr="007C0FC2" w:rsidRDefault="00C86EDD">
      <w:pPr>
        <w:pStyle w:val="Nervous6"/>
        <w:ind w:right="5811"/>
      </w:pPr>
      <w:bookmarkStart w:id="10" w:name="_Toc3203710"/>
      <w:r w:rsidRPr="007C0FC2">
        <w:t>Prophylaxis of tardive dyskinesias</w:t>
      </w:r>
      <w:bookmarkEnd w:id="10"/>
    </w:p>
    <w:p w:rsidR="00C86EDD" w:rsidRPr="007C0FC2" w:rsidRDefault="00C86EDD">
      <w:pPr>
        <w:numPr>
          <w:ilvl w:val="0"/>
          <w:numId w:val="11"/>
        </w:numPr>
        <w:rPr>
          <w:iCs/>
        </w:rPr>
      </w:pPr>
      <w:r w:rsidRPr="007C0FC2">
        <w:t>use neuroleptics only when necessary and with minimal effective dosages.</w:t>
      </w:r>
    </w:p>
    <w:p w:rsidR="00C86EDD" w:rsidRPr="007C0FC2" w:rsidRDefault="00C86EDD">
      <w:pPr>
        <w:numPr>
          <w:ilvl w:val="0"/>
          <w:numId w:val="11"/>
        </w:numPr>
        <w:rPr>
          <w:iCs/>
        </w:rPr>
      </w:pPr>
      <w:r w:rsidRPr="007C0FC2">
        <w:t xml:space="preserve">interrupt long-term use with periodic </w:t>
      </w:r>
      <w:r w:rsidRPr="007C0FC2">
        <w:rPr>
          <w:smallCaps/>
        </w:rPr>
        <w:t>drug holidays:</w:t>
      </w:r>
    </w:p>
    <w:p w:rsidR="00C86EDD" w:rsidRPr="007C0FC2" w:rsidRDefault="00C86EDD">
      <w:pPr>
        <w:numPr>
          <w:ilvl w:val="1"/>
          <w:numId w:val="11"/>
        </w:numPr>
        <w:rPr>
          <w:iCs/>
        </w:rPr>
      </w:pPr>
      <w:r w:rsidRPr="007C0FC2">
        <w:t>to determine whether treatment is still required;</w:t>
      </w:r>
    </w:p>
    <w:p w:rsidR="00C86EDD" w:rsidRPr="007C0FC2" w:rsidRDefault="00C86EDD">
      <w:pPr>
        <w:numPr>
          <w:ilvl w:val="1"/>
          <w:numId w:val="11"/>
        </w:numPr>
        <w:rPr>
          <w:iCs/>
        </w:rPr>
      </w:pPr>
      <w:r w:rsidRPr="007C0FC2">
        <w:t>to unmask incipient dyskinesias.</w:t>
      </w:r>
    </w:p>
    <w:p w:rsidR="00C86EDD" w:rsidRPr="007C0FC2" w:rsidRDefault="005E7E34">
      <w:pPr>
        <w:numPr>
          <w:ilvl w:val="0"/>
          <w:numId w:val="11"/>
        </w:numPr>
        <w:rPr>
          <w:iCs/>
        </w:rPr>
      </w:pPr>
      <w:r w:rsidRPr="007C0FC2">
        <w:rPr>
          <w:b/>
          <w:i/>
        </w:rPr>
        <w:t xml:space="preserve">anticholinergic drug </w:t>
      </w:r>
      <w:r w:rsidRPr="007C0FC2">
        <w:t>(</w:t>
      </w:r>
      <w:r w:rsidRPr="007C0FC2">
        <w:rPr>
          <w:rStyle w:val="Drugname2Char"/>
          <w:color w:val="0000FF"/>
          <w:lang w:val="en-US"/>
        </w:rPr>
        <w:t>benztropine</w:t>
      </w:r>
      <w:r w:rsidRPr="007C0FC2">
        <w:t xml:space="preserve">, </w:t>
      </w:r>
      <w:r w:rsidRPr="007C0FC2">
        <w:rPr>
          <w:rStyle w:val="Drugname2Char"/>
          <w:color w:val="0000FF"/>
          <w:lang w:val="en-US"/>
        </w:rPr>
        <w:t>trihexyphenidyl</w:t>
      </w:r>
      <w:r w:rsidRPr="007C0FC2">
        <w:t xml:space="preserve">, </w:t>
      </w:r>
      <w:r w:rsidRPr="007C0FC2">
        <w:rPr>
          <w:rStyle w:val="Drugname2Char"/>
          <w:color w:val="0000FF"/>
          <w:lang w:val="en-US"/>
        </w:rPr>
        <w:t>procyclidine</w:t>
      </w:r>
      <w:r w:rsidRPr="007C0FC2">
        <w:t xml:space="preserve">, </w:t>
      </w:r>
      <w:r w:rsidRPr="007C0FC2">
        <w:rPr>
          <w:rStyle w:val="Drugname2Char"/>
          <w:color w:val="0000FF"/>
          <w:lang w:val="en-US"/>
        </w:rPr>
        <w:t>diphenhydramine</w:t>
      </w:r>
      <w:r w:rsidRPr="007C0FC2">
        <w:t>) - fewer extrapyramidal effects in exchange for side effects of parasympathetic blockade; may be used with neuroleptics prophylactically.</w:t>
      </w:r>
    </w:p>
    <w:p w:rsidR="0000678A" w:rsidRPr="007C0FC2" w:rsidRDefault="0000678A">
      <w:pPr>
        <w:rPr>
          <w:iCs/>
        </w:rPr>
      </w:pPr>
    </w:p>
    <w:p w:rsidR="005E7E34" w:rsidRPr="007C0FC2" w:rsidRDefault="005E7E34">
      <w:pPr>
        <w:rPr>
          <w:iCs/>
        </w:rPr>
      </w:pPr>
    </w:p>
    <w:p w:rsidR="0000678A" w:rsidRPr="007C0FC2" w:rsidRDefault="0000678A" w:rsidP="0000678A">
      <w:pPr>
        <w:pStyle w:val="Nervous5"/>
        <w:ind w:right="4393"/>
      </w:pPr>
      <w:bookmarkStart w:id="11" w:name="_Toc3203711"/>
      <w:r w:rsidRPr="007C0FC2">
        <w:t>Withdrawal emergent syndrome</w:t>
      </w:r>
      <w:bookmarkEnd w:id="11"/>
    </w:p>
    <w:p w:rsidR="0000678A" w:rsidRPr="007C0FC2" w:rsidRDefault="0000678A" w:rsidP="0000678A">
      <w:pPr>
        <w:pStyle w:val="NormalWeb"/>
      </w:pPr>
      <w:r w:rsidRPr="007C0FC2">
        <w:t xml:space="preserve">- </w:t>
      </w:r>
      <w:r w:rsidRPr="007C0FC2">
        <w:rPr>
          <w:highlight w:val="yellow"/>
        </w:rPr>
        <w:t>variant of tardive dyskinesia</w:t>
      </w:r>
      <w:r w:rsidRPr="007C0FC2">
        <w:t>.</w:t>
      </w:r>
    </w:p>
    <w:p w:rsidR="0000678A" w:rsidRPr="007C0FC2" w:rsidRDefault="0000678A" w:rsidP="0000678A">
      <w:pPr>
        <w:pStyle w:val="NormalWeb"/>
        <w:numPr>
          <w:ilvl w:val="0"/>
          <w:numId w:val="6"/>
        </w:numPr>
      </w:pPr>
      <w:r w:rsidRPr="007C0FC2">
        <w:t>occurs in children upon sudden cessation of chronic drug use.</w:t>
      </w:r>
    </w:p>
    <w:p w:rsidR="0000678A" w:rsidRPr="007C0FC2" w:rsidRDefault="0000678A" w:rsidP="0000678A">
      <w:pPr>
        <w:pStyle w:val="NormalWeb"/>
        <w:numPr>
          <w:ilvl w:val="0"/>
          <w:numId w:val="6"/>
        </w:numPr>
      </w:pPr>
      <w:r w:rsidRPr="007C0FC2">
        <w:rPr>
          <w:i/>
          <w:iCs/>
        </w:rPr>
        <w:t>flowing</w:t>
      </w:r>
      <w:r w:rsidRPr="007C0FC2">
        <w:t>* movements ≈ Sydenham chorea.</w:t>
      </w:r>
    </w:p>
    <w:p w:rsidR="0000678A" w:rsidRPr="007C0FC2" w:rsidRDefault="0000678A" w:rsidP="0000678A">
      <w:pPr>
        <w:pStyle w:val="NormalWeb"/>
        <w:ind w:left="1440"/>
        <w:jc w:val="right"/>
      </w:pPr>
      <w:r w:rsidRPr="007C0FC2">
        <w:t xml:space="preserve">*rather than </w:t>
      </w:r>
      <w:r w:rsidRPr="007C0FC2">
        <w:rPr>
          <w:i/>
          <w:iCs/>
        </w:rPr>
        <w:t>repetitive</w:t>
      </w:r>
      <w:r w:rsidRPr="007C0FC2">
        <w:t xml:space="preserve"> (as in classic tardive dyskinesia).</w:t>
      </w:r>
    </w:p>
    <w:p w:rsidR="0000678A" w:rsidRPr="007C0FC2" w:rsidRDefault="0000678A" w:rsidP="0000678A">
      <w:pPr>
        <w:pStyle w:val="NormalWeb"/>
        <w:numPr>
          <w:ilvl w:val="0"/>
          <w:numId w:val="6"/>
        </w:numPr>
      </w:pPr>
      <w:r w:rsidRPr="007C0FC2">
        <w:t xml:space="preserve">syndrome is </w:t>
      </w:r>
      <w:r w:rsidRPr="007C0FC2">
        <w:rPr>
          <w:u w:val="single"/>
        </w:rPr>
        <w:t>self-limiting</w:t>
      </w:r>
      <w:r w:rsidRPr="007C0FC2">
        <w:t xml:space="preserve"> (may take weeks to resolve).</w:t>
      </w:r>
    </w:p>
    <w:p w:rsidR="0000678A" w:rsidRPr="007C0FC2" w:rsidRDefault="0000678A" w:rsidP="0000678A">
      <w:pPr>
        <w:pStyle w:val="NormalWeb"/>
        <w:numPr>
          <w:ilvl w:val="0"/>
          <w:numId w:val="6"/>
        </w:numPr>
      </w:pPr>
      <w:r w:rsidRPr="007C0FC2">
        <w:t>H: reintroduce drug and then taper dosage slowly.</w:t>
      </w:r>
    </w:p>
    <w:p w:rsidR="00A340F7" w:rsidRPr="007C0FC2" w:rsidRDefault="00A340F7" w:rsidP="00A340F7">
      <w:pPr>
        <w:pStyle w:val="NormalWeb"/>
      </w:pPr>
    </w:p>
    <w:p w:rsidR="00A340F7" w:rsidRPr="007C0FC2" w:rsidRDefault="00A340F7" w:rsidP="00A340F7">
      <w:pPr>
        <w:rPr>
          <w:szCs w:val="24"/>
        </w:rPr>
      </w:pPr>
    </w:p>
    <w:p w:rsidR="00A340F7" w:rsidRPr="007C0FC2" w:rsidRDefault="00A340F7" w:rsidP="00A340F7"/>
    <w:p w:rsidR="00A340F7" w:rsidRPr="007C0FC2" w:rsidRDefault="00A340F7" w:rsidP="00A340F7"/>
    <w:p w:rsidR="00A340F7" w:rsidRPr="007C0FC2" w:rsidRDefault="00A340F7" w:rsidP="00A340F7"/>
    <w:p w:rsidR="00A340F7" w:rsidRPr="007C0FC2" w:rsidRDefault="00A340F7" w:rsidP="00A340F7"/>
    <w:p w:rsidR="00A340F7" w:rsidRPr="007C0FC2" w:rsidRDefault="00A340F7" w:rsidP="00A340F7"/>
    <w:p w:rsidR="00B2087E" w:rsidRPr="00EB212A" w:rsidRDefault="00B2087E" w:rsidP="00B2087E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12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B2087E" w:rsidRDefault="00B2087E" w:rsidP="00B2087E">
      <w:pPr>
        <w:rPr>
          <w:sz w:val="20"/>
        </w:rPr>
      </w:pPr>
    </w:p>
    <w:p w:rsidR="00B2087E" w:rsidRDefault="00B2087E" w:rsidP="00B2087E">
      <w:pPr>
        <w:pBdr>
          <w:bottom w:val="single" w:sz="4" w:space="1" w:color="auto"/>
        </w:pBdr>
        <w:ind w:right="57"/>
        <w:rPr>
          <w:sz w:val="20"/>
        </w:rPr>
      </w:pPr>
    </w:p>
    <w:p w:rsidR="00B2087E" w:rsidRPr="00B806B3" w:rsidRDefault="00B2087E" w:rsidP="00B2087E">
      <w:pPr>
        <w:pBdr>
          <w:bottom w:val="single" w:sz="4" w:space="1" w:color="auto"/>
        </w:pBdr>
        <w:ind w:right="57"/>
        <w:rPr>
          <w:sz w:val="20"/>
        </w:rPr>
      </w:pPr>
    </w:p>
    <w:p w:rsidR="00B2087E" w:rsidRDefault="003D1BAA" w:rsidP="00B2087E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3" w:tgtFrame="_blank" w:history="1">
        <w:r w:rsidR="00B2087E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B2087E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B2087E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B2087E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2087E" w:rsidRPr="00F34741" w:rsidRDefault="003D1BAA" w:rsidP="00B2087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4" w:tgtFrame="_blank" w:history="1">
        <w:r w:rsidR="00B2087E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C86EDD" w:rsidRPr="007C0FC2" w:rsidRDefault="00C86EDD" w:rsidP="00A340F7">
      <w:pPr>
        <w:pStyle w:val="NormalWeb"/>
      </w:pPr>
    </w:p>
    <w:sectPr w:rsidR="00C86EDD" w:rsidRPr="007C0FC2" w:rsidSect="007129F1">
      <w:headerReference w:type="default" r:id="rId15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1D" w:rsidRDefault="00383D1D">
      <w:r>
        <w:separator/>
      </w:r>
    </w:p>
  </w:endnote>
  <w:endnote w:type="continuationSeparator" w:id="0">
    <w:p w:rsidR="00383D1D" w:rsidRDefault="0038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1D" w:rsidRDefault="00383D1D">
      <w:r>
        <w:separator/>
      </w:r>
    </w:p>
  </w:footnote>
  <w:footnote w:type="continuationSeparator" w:id="0">
    <w:p w:rsidR="00383D1D" w:rsidRDefault="0038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DD" w:rsidRPr="0093096F" w:rsidRDefault="004B0440" w:rsidP="0093096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96F">
      <w:rPr>
        <w:b/>
        <w:caps/>
      </w:rPr>
      <w:tab/>
    </w:r>
    <w:r w:rsidR="00E3065A" w:rsidRPr="00E3065A">
      <w:rPr>
        <w:b/>
        <w:smallCaps/>
      </w:rPr>
      <w:t>Drug-Induced Movement Disorders</w:t>
    </w:r>
    <w:r w:rsidR="0093096F">
      <w:rPr>
        <w:b/>
        <w:bCs/>
        <w:iCs/>
        <w:smallCaps/>
      </w:rPr>
      <w:tab/>
    </w:r>
    <w:r w:rsidR="00E3065A">
      <w:t>Mov25</w:t>
    </w:r>
    <w:r w:rsidR="0093096F">
      <w:t xml:space="preserve"> (</w:t>
    </w:r>
    <w:r w:rsidR="0093096F">
      <w:fldChar w:fldCharType="begin"/>
    </w:r>
    <w:r w:rsidR="0093096F">
      <w:instrText xml:space="preserve"> PAGE </w:instrText>
    </w:r>
    <w:r w:rsidR="0093096F">
      <w:fldChar w:fldCharType="separate"/>
    </w:r>
    <w:r w:rsidR="003D1BAA">
      <w:rPr>
        <w:noProof/>
      </w:rPr>
      <w:t>1</w:t>
    </w:r>
    <w:r w:rsidR="0093096F">
      <w:fldChar w:fldCharType="end"/>
    </w:r>
    <w:r w:rsidR="0093096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5756"/>
    <w:multiLevelType w:val="hybridMultilevel"/>
    <w:tmpl w:val="9530B7C6"/>
    <w:lvl w:ilvl="0" w:tplc="7E1094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2CA02D4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7E109460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2E07"/>
    <w:multiLevelType w:val="hybridMultilevel"/>
    <w:tmpl w:val="EAA0932C"/>
    <w:lvl w:ilvl="0" w:tplc="2586EAE8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904081FA">
      <w:start w:val="1"/>
      <w:numFmt w:val="decimal"/>
      <w:lvlText w:val="%2.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2" w:tplc="E6BA3018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</w:rPr>
    </w:lvl>
    <w:lvl w:ilvl="3" w:tplc="17068B3A">
      <w:start w:val="1"/>
      <w:numFmt w:val="bullet"/>
      <w:lvlText w:val="–"/>
      <w:lvlJc w:val="left"/>
      <w:pPr>
        <w:tabs>
          <w:tab w:val="num" w:pos="3560"/>
        </w:tabs>
        <w:ind w:left="3540" w:hanging="34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5537A8"/>
    <w:multiLevelType w:val="hybridMultilevel"/>
    <w:tmpl w:val="B360141C"/>
    <w:lvl w:ilvl="0" w:tplc="57224ED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51B3B"/>
    <w:multiLevelType w:val="hybridMultilevel"/>
    <w:tmpl w:val="DB32A682"/>
    <w:lvl w:ilvl="0" w:tplc="7E1094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E10946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987665"/>
    <w:multiLevelType w:val="hybridMultilevel"/>
    <w:tmpl w:val="317CDA04"/>
    <w:lvl w:ilvl="0" w:tplc="7E1094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E10946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D5665"/>
    <w:multiLevelType w:val="hybridMultilevel"/>
    <w:tmpl w:val="4B1284BA"/>
    <w:lvl w:ilvl="0" w:tplc="8B22241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6" w15:restartNumberingAfterBreak="0">
    <w:nsid w:val="3B2962FC"/>
    <w:multiLevelType w:val="hybridMultilevel"/>
    <w:tmpl w:val="73D2C6A0"/>
    <w:lvl w:ilvl="0" w:tplc="7E1094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0B0B"/>
    <w:multiLevelType w:val="multilevel"/>
    <w:tmpl w:val="870C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E0E4D"/>
    <w:multiLevelType w:val="hybridMultilevel"/>
    <w:tmpl w:val="C074BB10"/>
    <w:lvl w:ilvl="0" w:tplc="D304FA2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775102"/>
    <w:multiLevelType w:val="hybridMultilevel"/>
    <w:tmpl w:val="239EE242"/>
    <w:lvl w:ilvl="0" w:tplc="370E7B9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0" w15:restartNumberingAfterBreak="0">
    <w:nsid w:val="4D422FB1"/>
    <w:multiLevelType w:val="hybridMultilevel"/>
    <w:tmpl w:val="CDF83188"/>
    <w:lvl w:ilvl="0" w:tplc="8B22241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1" w15:restartNumberingAfterBreak="0">
    <w:nsid w:val="5DD91708"/>
    <w:multiLevelType w:val="hybridMultilevel"/>
    <w:tmpl w:val="3D8EF592"/>
    <w:lvl w:ilvl="0" w:tplc="787A62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370E7B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7695A"/>
    <w:multiLevelType w:val="hybridMultilevel"/>
    <w:tmpl w:val="DB32A682"/>
    <w:lvl w:ilvl="0" w:tplc="17068B3A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7E10946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21F9"/>
    <w:multiLevelType w:val="hybridMultilevel"/>
    <w:tmpl w:val="2E0E2502"/>
    <w:lvl w:ilvl="0" w:tplc="7E1094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7068B3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A614F"/>
    <w:multiLevelType w:val="hybridMultilevel"/>
    <w:tmpl w:val="7FE84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 w:hint="default"/>
      </w:rPr>
    </w:lvl>
    <w:lvl w:ilvl="2" w:tplc="E62A61BE">
      <w:start w:val="1"/>
      <w:numFmt w:val="decimal"/>
      <w:lvlText w:val="%3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61471FF2"/>
    <w:multiLevelType w:val="hybridMultilevel"/>
    <w:tmpl w:val="8336348C"/>
    <w:lvl w:ilvl="0" w:tplc="8B22241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7068B3A">
      <w:start w:val="1"/>
      <w:numFmt w:val="bullet"/>
      <w:lvlText w:val="–"/>
      <w:lvlJc w:val="left"/>
      <w:pPr>
        <w:tabs>
          <w:tab w:val="num" w:pos="760"/>
        </w:tabs>
        <w:ind w:left="74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6" w15:restartNumberingAfterBreak="0">
    <w:nsid w:val="6C27599F"/>
    <w:multiLevelType w:val="hybridMultilevel"/>
    <w:tmpl w:val="C34E112A"/>
    <w:lvl w:ilvl="0" w:tplc="38CC6DA4">
      <w:start w:val="1"/>
      <w:numFmt w:val="lowerLetter"/>
      <w:lvlText w:val="%1)"/>
      <w:lvlJc w:val="left"/>
      <w:pPr>
        <w:tabs>
          <w:tab w:val="num" w:pos="2061"/>
        </w:tabs>
        <w:ind w:left="2041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B8"/>
    <w:rsid w:val="0000678A"/>
    <w:rsid w:val="00021238"/>
    <w:rsid w:val="00065074"/>
    <w:rsid w:val="001A6426"/>
    <w:rsid w:val="001A6541"/>
    <w:rsid w:val="001B44B1"/>
    <w:rsid w:val="001B6AF8"/>
    <w:rsid w:val="001C77FD"/>
    <w:rsid w:val="001D72B3"/>
    <w:rsid w:val="001E6B12"/>
    <w:rsid w:val="002258AD"/>
    <w:rsid w:val="0023090A"/>
    <w:rsid w:val="002471E3"/>
    <w:rsid w:val="00311BF4"/>
    <w:rsid w:val="0033223A"/>
    <w:rsid w:val="00360033"/>
    <w:rsid w:val="00362F6D"/>
    <w:rsid w:val="00383D1D"/>
    <w:rsid w:val="003A15D6"/>
    <w:rsid w:val="003C5A8F"/>
    <w:rsid w:val="003D1BAA"/>
    <w:rsid w:val="00406D6A"/>
    <w:rsid w:val="00407E86"/>
    <w:rsid w:val="00466FAE"/>
    <w:rsid w:val="004B0440"/>
    <w:rsid w:val="004E412C"/>
    <w:rsid w:val="00523A20"/>
    <w:rsid w:val="0053780D"/>
    <w:rsid w:val="00546877"/>
    <w:rsid w:val="005D1B87"/>
    <w:rsid w:val="005E7E34"/>
    <w:rsid w:val="00626259"/>
    <w:rsid w:val="0062752D"/>
    <w:rsid w:val="00640950"/>
    <w:rsid w:val="006D44EE"/>
    <w:rsid w:val="006D7C44"/>
    <w:rsid w:val="007129F1"/>
    <w:rsid w:val="00732291"/>
    <w:rsid w:val="007B3D82"/>
    <w:rsid w:val="007C0FC2"/>
    <w:rsid w:val="007D0E44"/>
    <w:rsid w:val="007F7184"/>
    <w:rsid w:val="00807E15"/>
    <w:rsid w:val="0082310E"/>
    <w:rsid w:val="00875368"/>
    <w:rsid w:val="00924B44"/>
    <w:rsid w:val="0093096F"/>
    <w:rsid w:val="00964B1F"/>
    <w:rsid w:val="009D0064"/>
    <w:rsid w:val="00A117BD"/>
    <w:rsid w:val="00A25539"/>
    <w:rsid w:val="00A340F7"/>
    <w:rsid w:val="00A36C3A"/>
    <w:rsid w:val="00A5140F"/>
    <w:rsid w:val="00A91AAB"/>
    <w:rsid w:val="00AE6187"/>
    <w:rsid w:val="00B2087E"/>
    <w:rsid w:val="00B90E33"/>
    <w:rsid w:val="00BB11E4"/>
    <w:rsid w:val="00BC25BC"/>
    <w:rsid w:val="00BC5E4C"/>
    <w:rsid w:val="00C367D8"/>
    <w:rsid w:val="00C575DF"/>
    <w:rsid w:val="00C82112"/>
    <w:rsid w:val="00C86EDD"/>
    <w:rsid w:val="00C91916"/>
    <w:rsid w:val="00C95A7A"/>
    <w:rsid w:val="00D23AEF"/>
    <w:rsid w:val="00D34C7A"/>
    <w:rsid w:val="00DE5035"/>
    <w:rsid w:val="00E27FC5"/>
    <w:rsid w:val="00E3065A"/>
    <w:rsid w:val="00E64451"/>
    <w:rsid w:val="00E960EA"/>
    <w:rsid w:val="00EB7C49"/>
    <w:rsid w:val="00EC0651"/>
    <w:rsid w:val="00ED5AA9"/>
    <w:rsid w:val="00F67BB8"/>
    <w:rsid w:val="00F7036D"/>
    <w:rsid w:val="00FA28EE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183C787-7343-437F-9EAB-41FB50A8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7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B7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7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B2087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208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B2087E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B2087E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2087E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B2087E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B2087E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2087E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2087E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2087E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B2087E"/>
    <w:rPr>
      <w:color w:val="999999"/>
      <w:u w:val="none"/>
    </w:rPr>
  </w:style>
  <w:style w:type="paragraph" w:customStyle="1" w:styleId="Nervous4">
    <w:name w:val="Nervous 4"/>
    <w:basedOn w:val="Normal"/>
    <w:rsid w:val="00B208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2087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B2087E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B2087E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B2087E"/>
    <w:rPr>
      <w:szCs w:val="24"/>
    </w:rPr>
  </w:style>
  <w:style w:type="paragraph" w:customStyle="1" w:styleId="Nervous6">
    <w:name w:val="Nervous 6"/>
    <w:basedOn w:val="Normal"/>
    <w:rsid w:val="00B2087E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B2087E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rsid w:val="00B2087E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szCs w:val="24"/>
      <w:lang w:val="en-GB"/>
    </w:rPr>
  </w:style>
  <w:style w:type="paragraph" w:customStyle="1" w:styleId="Drugname2">
    <w:name w:val="Drug name 2"/>
    <w:basedOn w:val="Drugname"/>
    <w:link w:val="Drugname2Char"/>
    <w:rsid w:val="00B2087E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407E86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B2087E"/>
    <w:rPr>
      <w:color w:val="999999"/>
      <w:u w:val="none"/>
    </w:rPr>
  </w:style>
  <w:style w:type="paragraph" w:customStyle="1" w:styleId="Nervous9">
    <w:name w:val="Nervous 9"/>
    <w:link w:val="Nervous9Char"/>
    <w:rsid w:val="00B2087E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00678A"/>
    <w:rPr>
      <w:sz w:val="24"/>
      <w:szCs w:val="24"/>
      <w:u w:val="double" w:color="FF0000"/>
      <w:lang w:val="en-US" w:eastAsia="en-US" w:bidi="ar-SA"/>
    </w:rPr>
  </w:style>
  <w:style w:type="paragraph" w:customStyle="1" w:styleId="Nervous8">
    <w:name w:val="Nervous 8"/>
    <w:basedOn w:val="Normal"/>
    <w:rsid w:val="00B2087E"/>
    <w:rPr>
      <w:i/>
      <w:smallCaps/>
      <w:color w:val="999999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B7C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EB7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Mov.%20Movement%20disorders,%20Ataxias\Mov1.%20GENERAL%20-%20Extrapyramidal%20Movement%20Disorders.pdf" TargetMode="External"/><Relationship Id="rId13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eurosurgeryresident.net/Mov.%20Movement%20disorders,%20Ataxias\Mov.%20Bibliograph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Mov.%20Movement%20disorders,%20Ataxias\Mov1.%20GENERAL%20-%20Extrapyramidal%20Movement%20Disorder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eurosurgeryresident.net/Mov.%20Movement%20disorders,%20Ataxias\Mov1.%20GENERAL%20-%20Extrapyramidal%20Movement%20Disord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ov.%20Movement%20disorders,%20Ataxias\Mov11.%20Hypokinetic%20Disorders%202%20(Secondary%20Parkinsonism).pdf" TargetMode="External"/><Relationship Id="rId14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10</TotalTime>
  <Pages>3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Drug-Induced Movement Disorders</vt:lpstr>
    </vt:vector>
  </TitlesOfParts>
  <Company>www.NeurosurgeryResident.net</Company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Drug-Induced Movement Disorders</dc:title>
  <dc:subject/>
  <dc:creator>Viktoras Palys, MD</dc:creator>
  <cp:keywords/>
  <cp:lastModifiedBy>Viktoras Palys</cp:lastModifiedBy>
  <cp:revision>8</cp:revision>
  <cp:lastPrinted>2019-04-17T06:27:00Z</cp:lastPrinted>
  <dcterms:created xsi:type="dcterms:W3CDTF">2016-03-14T03:53:00Z</dcterms:created>
  <dcterms:modified xsi:type="dcterms:W3CDTF">2019-04-17T06:27:00Z</dcterms:modified>
</cp:coreProperties>
</file>