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0" w:rsidRPr="00CB57B0" w:rsidRDefault="00D92CEE" w:rsidP="0078746A">
      <w:pPr>
        <w:pStyle w:val="Title"/>
      </w:pPr>
      <w:bookmarkStart w:id="0" w:name="_GoBack"/>
      <w:r w:rsidRPr="00CB57B0">
        <w:t>Uncertain Syndromes</w:t>
      </w:r>
    </w:p>
    <w:p w:rsidR="00711CEB" w:rsidRDefault="00711CEB" w:rsidP="00711CEB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955CAA">
        <w:rPr>
          <w:noProof/>
        </w:rPr>
        <w:t>April 24, 2019</w:t>
      </w:r>
      <w:r>
        <w:fldChar w:fldCharType="end"/>
      </w:r>
    </w:p>
    <w:p w:rsidR="00D46ECD" w:rsidRDefault="00D46ECD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\h \z \t "Nervous 1,1" </w:instrText>
      </w:r>
      <w:r>
        <w:rPr>
          <w:b w:val="0"/>
          <w:smallCaps w:val="0"/>
        </w:rPr>
        <w:fldChar w:fldCharType="separate"/>
      </w:r>
      <w:hyperlink w:anchor="_Toc5570031" w:history="1">
        <w:r w:rsidRPr="00377049">
          <w:rPr>
            <w:rStyle w:val="Hyperlink"/>
            <w:noProof/>
          </w:rPr>
          <w:t>Gulf War Syndrome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_Toc5570031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5CA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46ECD" w:rsidRDefault="00955CAA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0032" w:history="1">
        <w:r w:rsidR="00D46ECD" w:rsidRPr="00377049">
          <w:rPr>
            <w:rStyle w:val="Hyperlink"/>
            <w:noProof/>
          </w:rPr>
          <w:t>Multiple Chemical Sensitivity Syndrome (Idiopathic Environmental Intolerance)</w:t>
        </w:r>
        <w:r w:rsidR="00D46ECD">
          <w:rPr>
            <w:noProof/>
            <w:webHidden/>
          </w:rPr>
          <w:tab/>
        </w:r>
        <w:r w:rsidR="00D46ECD">
          <w:rPr>
            <w:noProof/>
            <w:webHidden/>
          </w:rPr>
          <w:fldChar w:fldCharType="begin"/>
        </w:r>
        <w:r w:rsidR="00D46ECD">
          <w:rPr>
            <w:noProof/>
            <w:webHidden/>
          </w:rPr>
          <w:instrText xml:space="preserve"> PAGEREF _Toc5570032 \h </w:instrText>
        </w:r>
        <w:r w:rsidR="00D46ECD">
          <w:rPr>
            <w:noProof/>
            <w:webHidden/>
          </w:rPr>
        </w:r>
        <w:r w:rsidR="00D46ECD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D46ECD">
          <w:rPr>
            <w:noProof/>
            <w:webHidden/>
          </w:rPr>
          <w:fldChar w:fldCharType="end"/>
        </w:r>
      </w:hyperlink>
    </w:p>
    <w:p w:rsidR="00D46ECD" w:rsidRDefault="00955CAA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0033" w:history="1">
        <w:r w:rsidR="00D46ECD" w:rsidRPr="00377049">
          <w:rPr>
            <w:rStyle w:val="Hyperlink"/>
            <w:noProof/>
          </w:rPr>
          <w:t>Chronic Fatigue Syndrome</w:t>
        </w:r>
        <w:r w:rsidR="00D46ECD">
          <w:rPr>
            <w:noProof/>
            <w:webHidden/>
          </w:rPr>
          <w:tab/>
        </w:r>
        <w:r w:rsidR="00D46ECD">
          <w:rPr>
            <w:noProof/>
            <w:webHidden/>
          </w:rPr>
          <w:fldChar w:fldCharType="begin"/>
        </w:r>
        <w:r w:rsidR="00D46ECD">
          <w:rPr>
            <w:noProof/>
            <w:webHidden/>
          </w:rPr>
          <w:instrText xml:space="preserve"> PAGEREF _Toc5570033 \h </w:instrText>
        </w:r>
        <w:r w:rsidR="00D46ECD">
          <w:rPr>
            <w:noProof/>
            <w:webHidden/>
          </w:rPr>
        </w:r>
        <w:r w:rsidR="00D46ECD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D46ECD">
          <w:rPr>
            <w:noProof/>
            <w:webHidden/>
          </w:rPr>
          <w:fldChar w:fldCharType="end"/>
        </w:r>
      </w:hyperlink>
    </w:p>
    <w:p w:rsidR="00A908F0" w:rsidRPr="00CB57B0" w:rsidRDefault="00D46ECD">
      <w:r>
        <w:rPr>
          <w:b/>
          <w:smallCaps/>
        </w:rPr>
        <w:fldChar w:fldCharType="end"/>
      </w:r>
    </w:p>
    <w:p w:rsidR="00E06B37" w:rsidRPr="00CB57B0" w:rsidRDefault="00E06B37"/>
    <w:p w:rsidR="001C45CE" w:rsidRPr="00CB57B0" w:rsidRDefault="001C45CE" w:rsidP="001C45CE">
      <w:pPr>
        <w:pStyle w:val="Nervous1"/>
      </w:pPr>
      <w:bookmarkStart w:id="1" w:name="_Toc190966112"/>
      <w:bookmarkStart w:id="2" w:name="_Toc5570031"/>
      <w:r w:rsidRPr="00CB57B0">
        <w:t>Gulf War Syndrome</w:t>
      </w:r>
      <w:bookmarkEnd w:id="1"/>
      <w:bookmarkEnd w:id="2"/>
    </w:p>
    <w:p w:rsidR="001C45CE" w:rsidRPr="00CB57B0" w:rsidRDefault="008D23F4" w:rsidP="001C45CE">
      <w:r w:rsidRPr="00CB57B0">
        <w:t>-</w:t>
      </w:r>
      <w:r w:rsidR="001C45CE" w:rsidRPr="00CB57B0">
        <w:t xml:space="preserve"> group of </w:t>
      </w:r>
      <w:r w:rsidRPr="00CB57B0">
        <w:rPr>
          <w:highlight w:val="yellow"/>
        </w:rPr>
        <w:t xml:space="preserve">poorly understood </w:t>
      </w:r>
      <w:r w:rsidR="001C45CE" w:rsidRPr="00CB57B0">
        <w:rPr>
          <w:highlight w:val="yellow"/>
        </w:rPr>
        <w:t>symptoms</w:t>
      </w:r>
      <w:r w:rsidR="001C45CE" w:rsidRPr="00CB57B0">
        <w:t xml:space="preserve"> experienced by </w:t>
      </w:r>
      <w:r w:rsidRPr="00CB57B0">
        <w:t>&gt;</w:t>
      </w:r>
      <w:r w:rsidR="001C45CE" w:rsidRPr="00CB57B0">
        <w:t xml:space="preserve"> 100,000 American, British, and Canadian veterans of Persian Gulf War (1992). </w:t>
      </w:r>
    </w:p>
    <w:p w:rsidR="008D23F4" w:rsidRPr="00CB57B0" w:rsidRDefault="008D23F4" w:rsidP="001C45CE">
      <w:pPr>
        <w:numPr>
          <w:ilvl w:val="0"/>
          <w:numId w:val="1"/>
        </w:numPr>
      </w:pPr>
      <w:r w:rsidRPr="00CB57B0">
        <w:rPr>
          <w:u w:val="single"/>
        </w:rPr>
        <w:t>onset</w:t>
      </w:r>
      <w:r w:rsidRPr="00CB57B0">
        <w:t xml:space="preserve"> - w</w:t>
      </w:r>
      <w:r w:rsidR="001C45CE" w:rsidRPr="00CB57B0">
        <w:t>ithin few months of returning from Persian Gulf</w:t>
      </w:r>
      <w:r w:rsidRPr="00CB57B0">
        <w:t>.</w:t>
      </w:r>
    </w:p>
    <w:p w:rsidR="008D23F4" w:rsidRPr="00CB57B0" w:rsidRDefault="008D23F4" w:rsidP="001C45CE">
      <w:pPr>
        <w:numPr>
          <w:ilvl w:val="0"/>
          <w:numId w:val="1"/>
        </w:numPr>
      </w:pPr>
      <w:r w:rsidRPr="00CB57B0">
        <w:rPr>
          <w:u w:val="single"/>
        </w:rPr>
        <w:t>symptoms</w:t>
      </w:r>
      <w:r w:rsidRPr="00CB57B0">
        <w:t xml:space="preserve"> </w:t>
      </w:r>
      <w:r w:rsidRPr="00CB57B0">
        <w:rPr>
          <w:color w:val="0000FF"/>
        </w:rPr>
        <w:t>predominantly involve nervous system</w:t>
      </w:r>
      <w:r w:rsidRPr="00CB57B0">
        <w:t xml:space="preserve">: problems with memory, reasoning, concentration, and attention, </w:t>
      </w:r>
      <w:r w:rsidR="001C45CE" w:rsidRPr="00CB57B0">
        <w:t xml:space="preserve">headache, fatigue, </w:t>
      </w:r>
      <w:r w:rsidRPr="00CB57B0">
        <w:t xml:space="preserve">dizziness, depression, </w:t>
      </w:r>
      <w:r w:rsidR="001C45CE" w:rsidRPr="00CB57B0">
        <w:t xml:space="preserve">difficulty sleeping, </w:t>
      </w:r>
      <w:r w:rsidRPr="00CB57B0">
        <w:t xml:space="preserve">muscle / </w:t>
      </w:r>
      <w:r w:rsidR="001C45CE" w:rsidRPr="00CB57B0">
        <w:t xml:space="preserve">joint pain, </w:t>
      </w:r>
      <w:r w:rsidRPr="00CB57B0">
        <w:t xml:space="preserve">cough, </w:t>
      </w:r>
      <w:r w:rsidR="001C45CE" w:rsidRPr="00CB57B0">
        <w:t xml:space="preserve">chest pain, skin rashes, </w:t>
      </w:r>
      <w:r w:rsidRPr="00CB57B0">
        <w:t>diarrhea, impotence</w:t>
      </w:r>
      <w:r w:rsidR="00D42A5B" w:rsidRPr="00CB57B0">
        <w:t>.</w:t>
      </w:r>
    </w:p>
    <w:p w:rsidR="008D23F4" w:rsidRPr="00CB57B0" w:rsidRDefault="008D23F4" w:rsidP="001C45CE">
      <w:pPr>
        <w:numPr>
          <w:ilvl w:val="0"/>
          <w:numId w:val="1"/>
        </w:numPr>
      </w:pPr>
      <w:r w:rsidRPr="00CB57B0">
        <w:rPr>
          <w:u w:val="single"/>
        </w:rPr>
        <w:t>possible etiology</w:t>
      </w:r>
      <w:r w:rsidRPr="00CB57B0">
        <w:t>:</w:t>
      </w:r>
    </w:p>
    <w:p w:rsidR="008D23F4" w:rsidRPr="00CB57B0" w:rsidRDefault="001C45CE" w:rsidP="008D23F4">
      <w:pPr>
        <w:numPr>
          <w:ilvl w:val="1"/>
          <w:numId w:val="1"/>
        </w:numPr>
      </w:pPr>
      <w:r w:rsidRPr="00CB57B0">
        <w:t>expos</w:t>
      </w:r>
      <w:r w:rsidR="008D23F4" w:rsidRPr="00CB57B0">
        <w:t>ure</w:t>
      </w:r>
      <w:r w:rsidRPr="00CB57B0">
        <w:t xml:space="preserve"> to number of </w:t>
      </w:r>
      <w:r w:rsidR="008D23F4" w:rsidRPr="00CB57B0">
        <w:t>toxic substances (</w:t>
      </w:r>
      <w:r w:rsidRPr="00CB57B0">
        <w:t>chemical weapons, biological warfare, depleted uranium weapons, insecticides, smoke from burning oil wells</w:t>
      </w:r>
      <w:r w:rsidR="008D23F4" w:rsidRPr="00CB57B0">
        <w:t>).</w:t>
      </w:r>
    </w:p>
    <w:p w:rsidR="008D23F4" w:rsidRPr="00CB57B0" w:rsidRDefault="008D23F4" w:rsidP="008D23F4">
      <w:pPr>
        <w:numPr>
          <w:ilvl w:val="1"/>
          <w:numId w:val="1"/>
        </w:numPr>
      </w:pPr>
      <w:r w:rsidRPr="00CB57B0">
        <w:t>variety of airborne substances</w:t>
      </w:r>
    </w:p>
    <w:p w:rsidR="008D23F4" w:rsidRPr="00CB57B0" w:rsidRDefault="008D23F4" w:rsidP="008D23F4">
      <w:pPr>
        <w:numPr>
          <w:ilvl w:val="1"/>
          <w:numId w:val="1"/>
        </w:numPr>
      </w:pPr>
      <w:r w:rsidRPr="00CB57B0">
        <w:t>v</w:t>
      </w:r>
      <w:r w:rsidR="001C45CE" w:rsidRPr="00CB57B0">
        <w:t>accination with anthrax vaccine</w:t>
      </w:r>
    </w:p>
    <w:p w:rsidR="001C45CE" w:rsidRPr="00CB57B0" w:rsidRDefault="001C45CE" w:rsidP="008D23F4">
      <w:pPr>
        <w:numPr>
          <w:ilvl w:val="1"/>
          <w:numId w:val="1"/>
        </w:numPr>
      </w:pPr>
      <w:r w:rsidRPr="00CB57B0">
        <w:t>use of pyridostigmine tablets.</w:t>
      </w:r>
    </w:p>
    <w:p w:rsidR="00AA38E0" w:rsidRPr="00CB57B0" w:rsidRDefault="00AA38E0" w:rsidP="001C45CE">
      <w:pPr>
        <w:numPr>
          <w:ilvl w:val="0"/>
          <w:numId w:val="1"/>
        </w:numPr>
      </w:pPr>
      <w:r w:rsidRPr="00CB57B0">
        <w:rPr>
          <w:u w:val="single"/>
        </w:rPr>
        <w:t>d</w:t>
      </w:r>
      <w:r w:rsidR="001C45CE" w:rsidRPr="00CB57B0">
        <w:rPr>
          <w:u w:val="single"/>
        </w:rPr>
        <w:t>iagnosis and treatment</w:t>
      </w:r>
      <w:r w:rsidR="001C45CE" w:rsidRPr="00CB57B0">
        <w:t xml:space="preserve"> have not been established</w:t>
      </w:r>
      <w:r w:rsidRPr="00CB57B0">
        <w:t>.</w:t>
      </w:r>
    </w:p>
    <w:p w:rsidR="001C45CE" w:rsidRPr="00CB57B0" w:rsidRDefault="00AA38E0" w:rsidP="001C45CE">
      <w:pPr>
        <w:numPr>
          <w:ilvl w:val="0"/>
          <w:numId w:val="1"/>
        </w:numPr>
      </w:pPr>
      <w:r w:rsidRPr="00CB57B0">
        <w:t>v</w:t>
      </w:r>
      <w:r w:rsidR="001C45CE" w:rsidRPr="00CB57B0">
        <w:t>eterans who have Gulf War syndrome do not have higher hospitalization or death rate.</w:t>
      </w:r>
    </w:p>
    <w:p w:rsidR="001C45CE" w:rsidRPr="00CB57B0" w:rsidRDefault="001C45CE"/>
    <w:p w:rsidR="007F5426" w:rsidRPr="00CB57B0" w:rsidRDefault="007F5426"/>
    <w:p w:rsidR="007F5426" w:rsidRPr="00CB57B0" w:rsidRDefault="007F5426" w:rsidP="007F5426">
      <w:pPr>
        <w:pStyle w:val="Nervous1"/>
      </w:pPr>
      <w:bookmarkStart w:id="3" w:name="_Toc190966111"/>
      <w:bookmarkStart w:id="4" w:name="_Toc5570032"/>
      <w:r w:rsidRPr="00CB57B0">
        <w:t>Multiple Chemical Sensitivity Syndrome (Idiopathic Environmental Intolerance)</w:t>
      </w:r>
      <w:bookmarkEnd w:id="3"/>
      <w:bookmarkEnd w:id="4"/>
    </w:p>
    <w:p w:rsidR="007F5426" w:rsidRPr="00CB57B0" w:rsidRDefault="007F5426" w:rsidP="007F5426">
      <w:r w:rsidRPr="00CB57B0">
        <w:t xml:space="preserve">- </w:t>
      </w:r>
      <w:r w:rsidRPr="00CB57B0">
        <w:rPr>
          <w:highlight w:val="yellow"/>
        </w:rPr>
        <w:t xml:space="preserve">recurrent, </w:t>
      </w:r>
      <w:r w:rsidR="00D727BA" w:rsidRPr="00CB57B0">
        <w:rPr>
          <w:highlight w:val="yellow"/>
        </w:rPr>
        <w:t xml:space="preserve">multiple </w:t>
      </w:r>
      <w:r w:rsidRPr="00CB57B0">
        <w:rPr>
          <w:highlight w:val="yellow"/>
        </w:rPr>
        <w:t>nonspecific symptoms</w:t>
      </w:r>
      <w:r w:rsidRPr="00CB57B0">
        <w:t xml:space="preserve"> attributed to </w:t>
      </w:r>
      <w:r w:rsidRPr="00CB57B0">
        <w:rPr>
          <w:b/>
          <w:i/>
        </w:rPr>
        <w:t>low-level exposure</w:t>
      </w:r>
      <w:r w:rsidR="00D727BA" w:rsidRPr="00CB57B0">
        <w:t xml:space="preserve">* </w:t>
      </w:r>
      <w:r w:rsidRPr="00CB57B0">
        <w:t xml:space="preserve">to </w:t>
      </w:r>
      <w:r w:rsidRPr="00CB57B0">
        <w:rPr>
          <w:color w:val="0000FF"/>
        </w:rPr>
        <w:t>chemically unrelated substances commonly occurring in environment</w:t>
      </w:r>
      <w:r w:rsidRPr="00CB57B0">
        <w:t>.</w:t>
      </w:r>
    </w:p>
    <w:p w:rsidR="007F5426" w:rsidRPr="00CB57B0" w:rsidRDefault="00D727BA" w:rsidP="00D727BA">
      <w:pPr>
        <w:jc w:val="right"/>
      </w:pPr>
      <w:r w:rsidRPr="00CB57B0">
        <w:t>*inhaled, touched, or ingested</w:t>
      </w:r>
    </w:p>
    <w:p w:rsidR="00486EF3" w:rsidRPr="00CB57B0" w:rsidRDefault="00D727BA" w:rsidP="007F5426">
      <w:r w:rsidRPr="00CB57B0">
        <w:rPr>
          <w:u w:val="single"/>
        </w:rPr>
        <w:t>Etiologic theories</w:t>
      </w:r>
      <w:r w:rsidR="00486EF3" w:rsidRPr="00CB57B0">
        <w:t>:</w:t>
      </w:r>
    </w:p>
    <w:p w:rsidR="00486EF3" w:rsidRPr="00CB57B0" w:rsidRDefault="00486EF3" w:rsidP="00486EF3">
      <w:pPr>
        <w:numPr>
          <w:ilvl w:val="1"/>
          <w:numId w:val="1"/>
        </w:numPr>
      </w:pPr>
      <w:r w:rsidRPr="00CB57B0">
        <w:rPr>
          <w:b/>
        </w:rPr>
        <w:t>immunologic</w:t>
      </w:r>
      <w:r w:rsidRPr="00CB57B0">
        <w:t xml:space="preserve"> - some patients have biologic abnormalities (e.g. B cells↓, IgE↑).</w:t>
      </w:r>
    </w:p>
    <w:p w:rsidR="00D727BA" w:rsidRPr="00CB57B0" w:rsidRDefault="00486EF3" w:rsidP="00486EF3">
      <w:pPr>
        <w:numPr>
          <w:ilvl w:val="1"/>
          <w:numId w:val="1"/>
        </w:numPr>
      </w:pPr>
      <w:r w:rsidRPr="00CB57B0">
        <w:rPr>
          <w:b/>
        </w:rPr>
        <w:t>psychologic</w:t>
      </w:r>
      <w:r w:rsidRPr="00CB57B0">
        <w:t xml:space="preserve"> - </w:t>
      </w:r>
      <w:r w:rsidRPr="00CB57B0">
        <w:rPr>
          <w:color w:val="FF0000"/>
        </w:rPr>
        <w:t>form of somatization disorder</w:t>
      </w:r>
      <w:r w:rsidRPr="00CB57B0">
        <w:t>, panic attack, agoraphobia, neurasthenia (no-longer-used psychologic diagnosis).</w:t>
      </w:r>
    </w:p>
    <w:p w:rsidR="008C4C0A" w:rsidRPr="00CB57B0" w:rsidRDefault="008C4C0A" w:rsidP="00486EF3">
      <w:pPr>
        <w:numPr>
          <w:ilvl w:val="1"/>
          <w:numId w:val="1"/>
        </w:numPr>
      </w:pPr>
      <w:r w:rsidRPr="00CB57B0">
        <w:t xml:space="preserve">may represent emergence of </w:t>
      </w:r>
      <w:r w:rsidRPr="00CB57B0">
        <w:rPr>
          <w:b/>
        </w:rPr>
        <w:t>new culture-bound disorder</w:t>
      </w:r>
      <w:r w:rsidRPr="00CB57B0">
        <w:t xml:space="preserve"> in United States and Europe.</w:t>
      </w:r>
    </w:p>
    <w:p w:rsidR="00D727BA" w:rsidRPr="00CB57B0" w:rsidRDefault="00D727BA" w:rsidP="007F5426">
      <w:pPr>
        <w:rPr>
          <w:u w:val="single"/>
        </w:rPr>
      </w:pPr>
    </w:p>
    <w:p w:rsidR="007F5426" w:rsidRPr="00CB57B0" w:rsidRDefault="007F5426" w:rsidP="007F5426">
      <w:r w:rsidRPr="00CB57B0">
        <w:rPr>
          <w:u w:val="single"/>
        </w:rPr>
        <w:t>Symptoms</w:t>
      </w:r>
      <w:r w:rsidRPr="00CB57B0">
        <w:t xml:space="preserve"> are numerous</w:t>
      </w:r>
      <w:r w:rsidR="00486EF3" w:rsidRPr="00CB57B0">
        <w:t xml:space="preserve"> and usually involve more than one organ system</w:t>
      </w:r>
      <w:r w:rsidRPr="00CB57B0">
        <w:t>:</w:t>
      </w:r>
    </w:p>
    <w:p w:rsidR="007F5426" w:rsidRPr="00CB57B0" w:rsidRDefault="00D727BA" w:rsidP="00D727BA">
      <w:pPr>
        <w:ind w:left="1440"/>
      </w:pPr>
      <w:r w:rsidRPr="00CB57B0">
        <w:t>No clinically detectable organ dysfunction or related physical signs!</w:t>
      </w:r>
    </w:p>
    <w:p w:rsidR="00D727BA" w:rsidRPr="00CB57B0" w:rsidRDefault="00D727BA" w:rsidP="007F5426">
      <w:pPr>
        <w:numPr>
          <w:ilvl w:val="0"/>
          <w:numId w:val="1"/>
        </w:numPr>
      </w:pPr>
      <w:r w:rsidRPr="00CB57B0">
        <w:t>lack of consistent dose response!</w:t>
      </w:r>
      <w:r w:rsidR="00486EF3" w:rsidRPr="00CB57B0">
        <w:t xml:space="preserve"> (e.g. symptoms may not be replicated after exposure to high levels of substance).</w:t>
      </w:r>
    </w:p>
    <w:p w:rsidR="00486EF3" w:rsidRPr="00CB57B0" w:rsidRDefault="00486EF3" w:rsidP="007F5426">
      <w:pPr>
        <w:numPr>
          <w:ilvl w:val="0"/>
          <w:numId w:val="1"/>
        </w:numPr>
      </w:pPr>
      <w:r w:rsidRPr="00CB57B0">
        <w:t>patients often go to great lengths to avoid these agents by changing residence and employment, avoiding all foods containing “chemicals,” sometimes wearing masks in public, or avoiding public settings altogether.</w:t>
      </w:r>
    </w:p>
    <w:p w:rsidR="008C4C0A" w:rsidRPr="00CB57B0" w:rsidRDefault="008C4C0A" w:rsidP="007F5426">
      <w:pPr>
        <w:numPr>
          <w:ilvl w:val="0"/>
          <w:numId w:val="1"/>
        </w:numPr>
      </w:pPr>
      <w:r w:rsidRPr="00CB57B0">
        <w:t>very high levels of depression and anxiety in this population.</w:t>
      </w:r>
    </w:p>
    <w:p w:rsidR="00D727BA" w:rsidRPr="00CB57B0" w:rsidRDefault="00D727BA" w:rsidP="007F5426"/>
    <w:p w:rsidR="007F5426" w:rsidRPr="00CB57B0" w:rsidRDefault="007F5426" w:rsidP="007F5426">
      <w:r w:rsidRPr="00CB57B0">
        <w:rPr>
          <w:u w:val="single"/>
        </w:rPr>
        <w:t>Diagnosis</w:t>
      </w:r>
      <w:r w:rsidRPr="00CB57B0">
        <w:t xml:space="preserve"> - by exclusion</w:t>
      </w:r>
      <w:r w:rsidR="004D63EF" w:rsidRPr="00CB57B0">
        <w:t xml:space="preserve">; </w:t>
      </w:r>
      <w:r w:rsidR="004D63EF" w:rsidRPr="00CB57B0">
        <w:rPr>
          <w:i/>
        </w:rPr>
        <w:t>consultation with allergy specialist</w:t>
      </w:r>
      <w:r w:rsidR="004D63EF" w:rsidRPr="00CB57B0">
        <w:t xml:space="preserve"> may be necessary.</w:t>
      </w:r>
    </w:p>
    <w:p w:rsidR="007F5426" w:rsidRPr="00CB57B0" w:rsidRDefault="007F5426" w:rsidP="007F5426"/>
    <w:p w:rsidR="004D63EF" w:rsidRPr="00CB57B0" w:rsidRDefault="007F5426" w:rsidP="007F5426">
      <w:r w:rsidRPr="00CB57B0">
        <w:rPr>
          <w:u w:val="single"/>
        </w:rPr>
        <w:t>Treatment</w:t>
      </w:r>
      <w:r w:rsidRPr="00CB57B0">
        <w:t xml:space="preserve"> - </w:t>
      </w:r>
      <w:r w:rsidRPr="00CB57B0">
        <w:rPr>
          <w:b/>
          <w:color w:val="0000FF"/>
        </w:rPr>
        <w:t>psychologic support</w:t>
      </w:r>
      <w:r w:rsidR="004D63EF" w:rsidRPr="00CB57B0">
        <w:t xml:space="preserve">* </w:t>
      </w:r>
      <w:r w:rsidRPr="00CB57B0">
        <w:t xml:space="preserve">and </w:t>
      </w:r>
      <w:r w:rsidRPr="00CB57B0">
        <w:rPr>
          <w:b/>
          <w:color w:val="0000FF"/>
        </w:rPr>
        <w:t>avoidance</w:t>
      </w:r>
      <w:r w:rsidRPr="00CB57B0">
        <w:t xml:space="preserve"> of perceived triggers</w:t>
      </w:r>
      <w:r w:rsidR="004D63EF" w:rsidRPr="00CB57B0">
        <w:t xml:space="preserve"> (but </w:t>
      </w:r>
      <w:r w:rsidRPr="00CB57B0">
        <w:t>social isolation and costly and highly disruptive avoidance behaviors should be discouraged</w:t>
      </w:r>
      <w:r w:rsidR="004D63EF" w:rsidRPr="00CB57B0">
        <w:t>!).</w:t>
      </w:r>
    </w:p>
    <w:p w:rsidR="007F5426" w:rsidRPr="00CB57B0" w:rsidRDefault="004D63EF" w:rsidP="00F3031F">
      <w:pPr>
        <w:ind w:left="2880"/>
      </w:pPr>
      <w:r w:rsidRPr="00CB57B0">
        <w:t>*</w:t>
      </w:r>
      <w:r w:rsidR="007F5426" w:rsidRPr="00CB57B0">
        <w:t xml:space="preserve">not to demonstrate that cause is psychologic </w:t>
      </w:r>
      <w:r w:rsidRPr="00CB57B0">
        <w:t xml:space="preserve">(patients do not believe that) </w:t>
      </w:r>
      <w:r w:rsidR="007F5426" w:rsidRPr="00CB57B0">
        <w:t>but rather to help patients cope with their suffering.</w:t>
      </w:r>
    </w:p>
    <w:p w:rsidR="00751186" w:rsidRPr="00CB57B0" w:rsidRDefault="00751186"/>
    <w:p w:rsidR="008C4C0A" w:rsidRPr="00CB57B0" w:rsidRDefault="008C4C0A"/>
    <w:p w:rsidR="008C4C0A" w:rsidRPr="00CB57B0" w:rsidRDefault="008C4C0A" w:rsidP="008C4C0A">
      <w:pPr>
        <w:pStyle w:val="Nervous1"/>
      </w:pPr>
      <w:bookmarkStart w:id="5" w:name="_Toc190966110"/>
      <w:bookmarkStart w:id="6" w:name="_Toc5570033"/>
      <w:r w:rsidRPr="00CB57B0">
        <w:t>Chronic Fatigue Syndrome</w:t>
      </w:r>
      <w:bookmarkEnd w:id="5"/>
      <w:bookmarkEnd w:id="6"/>
    </w:p>
    <w:p w:rsidR="00E82EBA" w:rsidRPr="00CB57B0" w:rsidRDefault="00D57D06" w:rsidP="00E82EBA">
      <w:r w:rsidRPr="00CB57B0">
        <w:t>-</w:t>
      </w:r>
      <w:r w:rsidR="006E335B" w:rsidRPr="00CB57B0">
        <w:t xml:space="preserve"> </w:t>
      </w:r>
      <w:r w:rsidR="006E335B" w:rsidRPr="00CB57B0">
        <w:rPr>
          <w:highlight w:val="yellow"/>
        </w:rPr>
        <w:t>long-standing, severe, disabling fatigue</w:t>
      </w:r>
      <w:r w:rsidR="006E335B" w:rsidRPr="00CB57B0">
        <w:t xml:space="preserve"> </w:t>
      </w:r>
      <w:r w:rsidR="000004F1" w:rsidRPr="00CB57B0">
        <w:t>(usually for ≥ 6 mo that interferes with daily activities</w:t>
      </w:r>
      <w:r w:rsidR="00E82EBA" w:rsidRPr="00CB57B0">
        <w:t>*</w:t>
      </w:r>
      <w:r w:rsidR="000004F1" w:rsidRPr="00CB57B0">
        <w:t xml:space="preserve">) </w:t>
      </w:r>
      <w:r w:rsidR="006E335B" w:rsidRPr="00CB57B0">
        <w:t>without demonstrable muscle weakness</w:t>
      </w:r>
      <w:r w:rsidRPr="00CB57B0">
        <w:t xml:space="preserve"> or other u</w:t>
      </w:r>
      <w:r w:rsidR="006E335B" w:rsidRPr="00CB57B0">
        <w:t>nderlying disorders</w:t>
      </w:r>
      <w:r w:rsidRPr="00CB57B0">
        <w:t>.</w:t>
      </w:r>
    </w:p>
    <w:p w:rsidR="00E82EBA" w:rsidRPr="00CB57B0" w:rsidRDefault="00E82EBA" w:rsidP="00E82EBA">
      <w:pPr>
        <w:ind w:left="2880"/>
        <w:jc w:val="right"/>
      </w:pPr>
      <w:r w:rsidRPr="00CB57B0">
        <w:t>*have to lie down to rest after briefest exertion; if patients plan activity in evening, they may spend entire day resting in advance.</w:t>
      </w:r>
    </w:p>
    <w:p w:rsidR="00AF2D0F" w:rsidRPr="00CB57B0" w:rsidRDefault="00D57D06" w:rsidP="00F3031F">
      <w:pPr>
        <w:numPr>
          <w:ilvl w:val="0"/>
          <w:numId w:val="3"/>
        </w:numPr>
      </w:pPr>
      <w:r w:rsidRPr="00CB57B0">
        <w:t>psychologic diagnoses (d</w:t>
      </w:r>
      <w:r w:rsidR="006E335B" w:rsidRPr="00CB57B0">
        <w:t xml:space="preserve">epression, anxiety, </w:t>
      </w:r>
      <w:r w:rsidRPr="00CB57B0">
        <w:t>etc)</w:t>
      </w:r>
      <w:r w:rsidR="006E335B" w:rsidRPr="00CB57B0">
        <w:t xml:space="preserve"> are </w:t>
      </w:r>
      <w:r w:rsidRPr="00CB57B0">
        <w:t>also typically absent.</w:t>
      </w:r>
    </w:p>
    <w:p w:rsidR="00D57D06" w:rsidRPr="00CB57B0" w:rsidRDefault="00AF2D0F" w:rsidP="00F3031F">
      <w:pPr>
        <w:numPr>
          <w:ilvl w:val="0"/>
          <w:numId w:val="3"/>
        </w:numPr>
      </w:pPr>
      <w:r w:rsidRPr="00CB57B0">
        <w:t xml:space="preserve">precise cause remains unknown; </w:t>
      </w:r>
      <w:r w:rsidRPr="00CB57B0">
        <w:rPr>
          <w:u w:val="single"/>
        </w:rPr>
        <w:t>etiologic theories</w:t>
      </w:r>
      <w:r w:rsidRPr="00CB57B0">
        <w:t>:</w:t>
      </w:r>
    </w:p>
    <w:p w:rsidR="00D57D06" w:rsidRPr="00CB57B0" w:rsidRDefault="00AF2D0F" w:rsidP="007D7773">
      <w:pPr>
        <w:numPr>
          <w:ilvl w:val="0"/>
          <w:numId w:val="5"/>
        </w:numPr>
        <w:rPr>
          <w:iCs/>
        </w:rPr>
      </w:pPr>
      <w:r w:rsidRPr="00CB57B0">
        <w:t>psychologic factors</w:t>
      </w:r>
    </w:p>
    <w:p w:rsidR="00AF2D0F" w:rsidRPr="00CB57B0" w:rsidRDefault="00AF2D0F" w:rsidP="007D7773">
      <w:pPr>
        <w:numPr>
          <w:ilvl w:val="0"/>
          <w:numId w:val="5"/>
        </w:numPr>
        <w:rPr>
          <w:iCs/>
        </w:rPr>
      </w:pPr>
      <w:r w:rsidRPr="00CB57B0">
        <w:t>chronic viral infection</w:t>
      </w:r>
      <w:r w:rsidR="007D7773" w:rsidRPr="00CB57B0">
        <w:t xml:space="preserve"> (old names of syndrome - </w:t>
      </w:r>
      <w:r w:rsidR="007D7773" w:rsidRPr="00CB57B0">
        <w:rPr>
          <w:i/>
        </w:rPr>
        <w:t>chronic Epstein-Barr virus infection</w:t>
      </w:r>
      <w:r w:rsidR="007D7773" w:rsidRPr="00CB57B0">
        <w:t xml:space="preserve">, </w:t>
      </w:r>
      <w:r w:rsidR="007D7773" w:rsidRPr="00CB57B0">
        <w:rPr>
          <w:i/>
        </w:rPr>
        <w:t>postviral fatigue syndrome</w:t>
      </w:r>
      <w:r w:rsidR="00457144" w:rsidRPr="00CB57B0">
        <w:t>).</w:t>
      </w:r>
    </w:p>
    <w:p w:rsidR="00AF2D0F" w:rsidRPr="00CB57B0" w:rsidRDefault="00AF2D0F" w:rsidP="007D7773">
      <w:pPr>
        <w:numPr>
          <w:ilvl w:val="0"/>
          <w:numId w:val="5"/>
        </w:numPr>
        <w:rPr>
          <w:iCs/>
        </w:rPr>
      </w:pPr>
      <w:r w:rsidRPr="00CB57B0">
        <w:t>allergic reactions or immunologic abnormalities</w:t>
      </w:r>
      <w:r w:rsidR="003963A2" w:rsidRPr="00CB57B0">
        <w:t xml:space="preserve"> (e.g. excessive cytokine release)</w:t>
      </w:r>
    </w:p>
    <w:p w:rsidR="00AF2D0F" w:rsidRPr="00CB57B0" w:rsidRDefault="00AF2D0F" w:rsidP="007D7773">
      <w:pPr>
        <w:numPr>
          <w:ilvl w:val="0"/>
          <w:numId w:val="5"/>
        </w:numPr>
        <w:rPr>
          <w:iCs/>
        </w:rPr>
      </w:pPr>
      <w:r w:rsidRPr="00CB57B0">
        <w:t>neuroendocrine abnormalities</w:t>
      </w:r>
      <w:r w:rsidR="003963A2" w:rsidRPr="00CB57B0">
        <w:t xml:space="preserve"> (e.g. ↓production of corticotropin-releasing hormone)</w:t>
      </w:r>
    </w:p>
    <w:p w:rsidR="00AF2D0F" w:rsidRPr="00CB57B0" w:rsidRDefault="00AF2D0F" w:rsidP="007D7773">
      <w:pPr>
        <w:numPr>
          <w:ilvl w:val="0"/>
          <w:numId w:val="5"/>
        </w:numPr>
        <w:rPr>
          <w:iCs/>
        </w:rPr>
      </w:pPr>
      <w:r w:rsidRPr="00CB57B0">
        <w:t>abnormal levels of neurotransmitters</w:t>
      </w:r>
    </w:p>
    <w:p w:rsidR="00AF2D0F" w:rsidRPr="00CB57B0" w:rsidRDefault="00AF2D0F" w:rsidP="007D7773">
      <w:pPr>
        <w:numPr>
          <w:ilvl w:val="0"/>
          <w:numId w:val="5"/>
        </w:numPr>
        <w:rPr>
          <w:iCs/>
        </w:rPr>
      </w:pPr>
      <w:r w:rsidRPr="00CB57B0">
        <w:t>inadequate cerebral circulation</w:t>
      </w:r>
    </w:p>
    <w:p w:rsidR="00AF2D0F" w:rsidRPr="00CB57B0" w:rsidRDefault="00AF2D0F" w:rsidP="007D7773">
      <w:pPr>
        <w:numPr>
          <w:ilvl w:val="0"/>
          <w:numId w:val="5"/>
        </w:numPr>
        <w:rPr>
          <w:iCs/>
        </w:rPr>
      </w:pPr>
      <w:r w:rsidRPr="00CB57B0">
        <w:t>elevated levels of ACE</w:t>
      </w:r>
    </w:p>
    <w:p w:rsidR="00AF2D0F" w:rsidRPr="00CB57B0" w:rsidRDefault="00AF2D0F" w:rsidP="007D7773">
      <w:pPr>
        <w:numPr>
          <w:ilvl w:val="0"/>
          <w:numId w:val="5"/>
        </w:numPr>
      </w:pPr>
      <w:r w:rsidRPr="00CB57B0">
        <w:t>familial or genetic component (relatives of patients have increased risk of developing syndrome).</w:t>
      </w:r>
    </w:p>
    <w:p w:rsidR="00AF2D0F" w:rsidRPr="00CB57B0" w:rsidRDefault="00AF2D0F" w:rsidP="006E335B"/>
    <w:p w:rsidR="00F3031F" w:rsidRPr="00CB57B0" w:rsidRDefault="00F3031F" w:rsidP="006E335B">
      <w:r w:rsidRPr="00CB57B0">
        <w:rPr>
          <w:smallCaps/>
        </w:rPr>
        <w:t>Prevalence</w:t>
      </w:r>
      <w:r w:rsidRPr="00CB57B0">
        <w:t xml:space="preserve"> </w:t>
      </w:r>
      <w:r w:rsidR="003E2B93" w:rsidRPr="00CB57B0">
        <w:t>2</w:t>
      </w:r>
      <w:r w:rsidRPr="00CB57B0">
        <w:t>-38/100,000 people.</w:t>
      </w:r>
    </w:p>
    <w:p w:rsidR="00F3031F" w:rsidRPr="00CB57B0" w:rsidRDefault="00F3031F" w:rsidP="00F3031F">
      <w:pPr>
        <w:numPr>
          <w:ilvl w:val="0"/>
          <w:numId w:val="3"/>
        </w:numPr>
        <w:rPr>
          <w:iCs/>
        </w:rPr>
      </w:pPr>
      <w:r w:rsidRPr="00CB57B0">
        <w:rPr>
          <w:iCs/>
        </w:rPr>
        <w:t>females ≥ males.</w:t>
      </w:r>
    </w:p>
    <w:p w:rsidR="00457144" w:rsidRPr="00CB57B0" w:rsidRDefault="00457144" w:rsidP="00F3031F">
      <w:pPr>
        <w:numPr>
          <w:ilvl w:val="0"/>
          <w:numId w:val="3"/>
        </w:numPr>
        <w:rPr>
          <w:iCs/>
        </w:rPr>
      </w:pPr>
      <w:r w:rsidRPr="00CB57B0">
        <w:rPr>
          <w:iCs/>
        </w:rPr>
        <w:t>most often 25-45 yrs old.</w:t>
      </w:r>
    </w:p>
    <w:p w:rsidR="00AF2D0F" w:rsidRPr="00CB57B0" w:rsidRDefault="00AF2D0F" w:rsidP="00F3031F">
      <w:pPr>
        <w:numPr>
          <w:ilvl w:val="0"/>
          <w:numId w:val="3"/>
        </w:numPr>
        <w:rPr>
          <w:iCs/>
        </w:rPr>
      </w:pPr>
      <w:r w:rsidRPr="00CB57B0">
        <w:t>in office-based studies prevalence is highest among whites; community surveys indicate higher prevalence among blacks, Hispanics, and American Indians.</w:t>
      </w:r>
    </w:p>
    <w:p w:rsidR="003E2B93" w:rsidRPr="00CB57B0" w:rsidRDefault="003E2B93" w:rsidP="00F3031F">
      <w:pPr>
        <w:numPr>
          <w:ilvl w:val="0"/>
          <w:numId w:val="3"/>
        </w:numPr>
        <w:rPr>
          <w:iCs/>
        </w:rPr>
      </w:pPr>
      <w:r w:rsidRPr="00CB57B0">
        <w:t>most famous "outbreaks" occurred in Los Angeles County Hospital in 1934; in Akureyri, Iceland, in 1948; in Royal Free Hospital, London, in 1955; in Punta Gorda, Florida, in 1956; and in Incline Village, Nevada, and surrounding communities in 1985.</w:t>
      </w:r>
    </w:p>
    <w:p w:rsidR="00F3031F" w:rsidRPr="00CB57B0" w:rsidRDefault="00F3031F" w:rsidP="006E335B">
      <w:pPr>
        <w:rPr>
          <w:u w:val="single"/>
        </w:rPr>
      </w:pPr>
    </w:p>
    <w:p w:rsidR="000004F1" w:rsidRPr="00CB57B0" w:rsidRDefault="000004F1" w:rsidP="006E335B">
      <w:pPr>
        <w:rPr>
          <w:u w:val="single"/>
        </w:rPr>
      </w:pPr>
      <w:r w:rsidRPr="00CB57B0">
        <w:rPr>
          <w:u w:val="single"/>
        </w:rPr>
        <w:t>Clinical Features</w:t>
      </w:r>
    </w:p>
    <w:p w:rsidR="000004F1" w:rsidRPr="00CB57B0" w:rsidRDefault="000004F1" w:rsidP="000004F1">
      <w:pPr>
        <w:numPr>
          <w:ilvl w:val="0"/>
          <w:numId w:val="3"/>
        </w:numPr>
        <w:rPr>
          <w:iCs/>
          <w:u w:val="single"/>
        </w:rPr>
      </w:pPr>
      <w:r w:rsidRPr="00CB57B0">
        <w:rPr>
          <w:b/>
        </w:rPr>
        <w:t>onset</w:t>
      </w:r>
      <w:r w:rsidRPr="00CB57B0">
        <w:t xml:space="preserve"> is usually </w:t>
      </w:r>
      <w:r w:rsidRPr="00CB57B0">
        <w:rPr>
          <w:b/>
          <w:i/>
        </w:rPr>
        <w:t>abrupt</w:t>
      </w:r>
      <w:r w:rsidR="003963A2" w:rsidRPr="00CB57B0">
        <w:t xml:space="preserve"> in previously active individual</w:t>
      </w:r>
      <w:r w:rsidRPr="00CB57B0">
        <w:t xml:space="preserve">; many patients report </w:t>
      </w:r>
      <w:r w:rsidRPr="00CB57B0">
        <w:rPr>
          <w:color w:val="0000FF"/>
        </w:rPr>
        <w:t>initial viral-like illness</w:t>
      </w:r>
      <w:r w:rsidRPr="00CB57B0">
        <w:t xml:space="preserve"> (with swollen lymph nodes, extreme fatigue, fever, and upper respiratory symptoms).</w:t>
      </w:r>
    </w:p>
    <w:p w:rsidR="003E2B93" w:rsidRPr="00CB57B0" w:rsidRDefault="003E2B93" w:rsidP="000004F1">
      <w:pPr>
        <w:numPr>
          <w:ilvl w:val="0"/>
          <w:numId w:val="3"/>
        </w:numPr>
        <w:rPr>
          <w:iCs/>
          <w:u w:val="single"/>
        </w:rPr>
      </w:pPr>
      <w:r w:rsidRPr="00CB57B0">
        <w:t xml:space="preserve">commonly accompanied by symptoms of </w:t>
      </w:r>
      <w:r w:rsidRPr="00CB57B0">
        <w:rPr>
          <w:color w:val="0000FF"/>
        </w:rPr>
        <w:t>depression</w:t>
      </w:r>
      <w:r w:rsidR="003963A2" w:rsidRPr="00CB57B0">
        <w:t xml:space="preserve"> (much of this depression may be reactive, but prevalence exceeds that seen in other chronic medical illnesses).</w:t>
      </w:r>
    </w:p>
    <w:p w:rsidR="003963A2" w:rsidRPr="00CB57B0" w:rsidRDefault="003963A2" w:rsidP="000004F1">
      <w:pPr>
        <w:numPr>
          <w:ilvl w:val="0"/>
          <w:numId w:val="3"/>
        </w:numPr>
        <w:rPr>
          <w:iCs/>
          <w:u w:val="single"/>
        </w:rPr>
      </w:pPr>
      <w:r w:rsidRPr="00CB57B0">
        <w:t>once pattern of illness is established, symptoms may fluctuate somewhat.</w:t>
      </w:r>
    </w:p>
    <w:p w:rsidR="00CF11AF" w:rsidRPr="00CB57B0" w:rsidRDefault="00CF11AF" w:rsidP="000004F1">
      <w:pPr>
        <w:numPr>
          <w:ilvl w:val="0"/>
          <w:numId w:val="3"/>
        </w:numPr>
        <w:rPr>
          <w:iCs/>
          <w:u w:val="single"/>
        </w:rPr>
      </w:pPr>
      <w:r w:rsidRPr="00CB57B0">
        <w:t>fortunately, syndrome does not appear to progress (many patients experience gradual improvement, and minority recover fully).</w:t>
      </w:r>
    </w:p>
    <w:p w:rsidR="00470943" w:rsidRPr="00CB57B0" w:rsidRDefault="00470943" w:rsidP="00470943"/>
    <w:p w:rsidR="000004F1" w:rsidRPr="00CB57B0" w:rsidRDefault="00470943" w:rsidP="00470943">
      <w:pPr>
        <w:rPr>
          <w:iCs/>
          <w:u w:val="single"/>
        </w:rPr>
      </w:pPr>
      <w:r w:rsidRPr="00CB57B0">
        <w:rPr>
          <w:u w:val="single"/>
        </w:rPr>
        <w:t>D</w:t>
      </w:r>
      <w:r w:rsidR="000004F1" w:rsidRPr="00CB57B0">
        <w:rPr>
          <w:u w:val="single"/>
        </w:rPr>
        <w:t>iagnostic criteria</w:t>
      </w:r>
      <w:r w:rsidR="000004F1" w:rsidRPr="00CB57B0">
        <w:t>:</w:t>
      </w:r>
    </w:p>
    <w:p w:rsidR="000004F1" w:rsidRPr="00CB57B0" w:rsidRDefault="000004F1" w:rsidP="000004F1">
      <w:pPr>
        <w:numPr>
          <w:ilvl w:val="0"/>
          <w:numId w:val="4"/>
        </w:numPr>
        <w:rPr>
          <w:color w:val="000000"/>
        </w:rPr>
      </w:pPr>
      <w:r w:rsidRPr="00CB57B0">
        <w:rPr>
          <w:color w:val="000000"/>
        </w:rPr>
        <w:t xml:space="preserve">Unexplained, persistent, or relapsing chronic </w:t>
      </w:r>
      <w:r w:rsidRPr="00CB57B0">
        <w:rPr>
          <w:b/>
          <w:smallCaps/>
          <w:color w:val="000000"/>
        </w:rPr>
        <w:t>fatigue</w:t>
      </w:r>
      <w:r w:rsidRPr="00CB57B0">
        <w:rPr>
          <w:color w:val="000000"/>
        </w:rPr>
        <w:t xml:space="preserve"> that is new or has definite onset; that is </w:t>
      </w:r>
      <w:r w:rsidRPr="00CB57B0">
        <w:rPr>
          <w:color w:val="0000FF"/>
        </w:rPr>
        <w:t>not due to ongoing exertion</w:t>
      </w:r>
      <w:r w:rsidRPr="00CB57B0">
        <w:rPr>
          <w:color w:val="000000"/>
        </w:rPr>
        <w:t xml:space="preserve">; that is </w:t>
      </w:r>
      <w:r w:rsidRPr="00CB57B0">
        <w:rPr>
          <w:color w:val="0000FF"/>
        </w:rPr>
        <w:t>not substantially alleviated by rest</w:t>
      </w:r>
      <w:r w:rsidRPr="00CB57B0">
        <w:rPr>
          <w:color w:val="000000"/>
        </w:rPr>
        <w:t xml:space="preserve">; and that </w:t>
      </w:r>
      <w:r w:rsidRPr="00CB57B0">
        <w:rPr>
          <w:color w:val="0000FF"/>
        </w:rPr>
        <w:t>substantially reduces</w:t>
      </w:r>
      <w:r w:rsidRPr="00CB57B0">
        <w:rPr>
          <w:color w:val="000000"/>
        </w:rPr>
        <w:t xml:space="preserve"> occupational, educational, social, or personal </w:t>
      </w:r>
      <w:r w:rsidRPr="00CB57B0">
        <w:rPr>
          <w:color w:val="0000FF"/>
        </w:rPr>
        <w:t>activities</w:t>
      </w:r>
    </w:p>
    <w:p w:rsidR="000004F1" w:rsidRPr="00CB57B0" w:rsidRDefault="000004F1" w:rsidP="00470943">
      <w:pPr>
        <w:numPr>
          <w:ilvl w:val="0"/>
          <w:numId w:val="4"/>
        </w:numPr>
        <w:spacing w:before="40"/>
        <w:ind w:left="1349" w:hanging="357"/>
        <w:rPr>
          <w:color w:val="000000"/>
        </w:rPr>
      </w:pPr>
      <w:r w:rsidRPr="00CB57B0">
        <w:rPr>
          <w:color w:val="000000"/>
        </w:rPr>
        <w:t>At least 4 of following for ≥ 6 mo*:</w:t>
      </w:r>
    </w:p>
    <w:p w:rsidR="000004F1" w:rsidRPr="00CB57B0" w:rsidRDefault="00470943" w:rsidP="00470943">
      <w:pPr>
        <w:numPr>
          <w:ilvl w:val="1"/>
          <w:numId w:val="4"/>
        </w:numPr>
        <w:rPr>
          <w:color w:val="000000"/>
        </w:rPr>
      </w:pPr>
      <w:r w:rsidRPr="00CB57B0">
        <w:rPr>
          <w:color w:val="000000"/>
        </w:rPr>
        <w:t>impaired short-term memory (self-reported) severe enough to substantially reduce occupational, educational, social, or personal activities</w:t>
      </w:r>
    </w:p>
    <w:p w:rsidR="000004F1" w:rsidRPr="00CB57B0" w:rsidRDefault="00470943" w:rsidP="00470943">
      <w:pPr>
        <w:numPr>
          <w:ilvl w:val="1"/>
          <w:numId w:val="4"/>
        </w:numPr>
        <w:rPr>
          <w:color w:val="000000"/>
        </w:rPr>
      </w:pPr>
      <w:r w:rsidRPr="00CB57B0">
        <w:rPr>
          <w:color w:val="000000"/>
        </w:rPr>
        <w:t>sore throat</w:t>
      </w:r>
      <w:r w:rsidRPr="00CB57B0">
        <w:t xml:space="preserve"> (nonexudative </w:t>
      </w:r>
      <w:r w:rsidRPr="00CB57B0">
        <w:rPr>
          <w:color w:val="FF0000"/>
        </w:rPr>
        <w:t>pharyngitis</w:t>
      </w:r>
      <w:r w:rsidRPr="00CB57B0">
        <w:t>)</w:t>
      </w:r>
    </w:p>
    <w:p w:rsidR="000004F1" w:rsidRPr="00CB57B0" w:rsidRDefault="00470943" w:rsidP="00470943">
      <w:pPr>
        <w:numPr>
          <w:ilvl w:val="1"/>
          <w:numId w:val="4"/>
        </w:numPr>
        <w:rPr>
          <w:color w:val="000000"/>
        </w:rPr>
      </w:pPr>
      <w:r w:rsidRPr="00CB57B0">
        <w:rPr>
          <w:color w:val="000000"/>
        </w:rPr>
        <w:t xml:space="preserve">low-grade </w:t>
      </w:r>
      <w:r w:rsidRPr="00CB57B0">
        <w:rPr>
          <w:color w:val="FF0000"/>
        </w:rPr>
        <w:t>fever</w:t>
      </w:r>
    </w:p>
    <w:p w:rsidR="000004F1" w:rsidRPr="00CB57B0" w:rsidRDefault="00470943" w:rsidP="00470943">
      <w:pPr>
        <w:numPr>
          <w:ilvl w:val="1"/>
          <w:numId w:val="4"/>
        </w:numPr>
        <w:rPr>
          <w:color w:val="000000"/>
        </w:rPr>
      </w:pPr>
      <w:r w:rsidRPr="00CB57B0">
        <w:rPr>
          <w:color w:val="000000"/>
        </w:rPr>
        <w:t xml:space="preserve">tender, enlarged, painful cervical or axillary </w:t>
      </w:r>
      <w:r w:rsidRPr="00CB57B0">
        <w:rPr>
          <w:color w:val="FF0000"/>
        </w:rPr>
        <w:t>lymph nodes</w:t>
      </w:r>
    </w:p>
    <w:p w:rsidR="000004F1" w:rsidRPr="00CB57B0" w:rsidRDefault="00470943" w:rsidP="00470943">
      <w:pPr>
        <w:numPr>
          <w:ilvl w:val="1"/>
          <w:numId w:val="4"/>
        </w:numPr>
        <w:rPr>
          <w:color w:val="000000"/>
        </w:rPr>
      </w:pPr>
      <w:r w:rsidRPr="00CB57B0">
        <w:rPr>
          <w:color w:val="000000"/>
        </w:rPr>
        <w:t>muscle pain</w:t>
      </w:r>
    </w:p>
    <w:p w:rsidR="000004F1" w:rsidRPr="00CB57B0" w:rsidRDefault="00470943" w:rsidP="00470943">
      <w:pPr>
        <w:numPr>
          <w:ilvl w:val="1"/>
          <w:numId w:val="4"/>
        </w:numPr>
        <w:rPr>
          <w:color w:val="000000"/>
        </w:rPr>
      </w:pPr>
      <w:r w:rsidRPr="00CB57B0">
        <w:rPr>
          <w:color w:val="000000"/>
        </w:rPr>
        <w:t>abdominal pain</w:t>
      </w:r>
    </w:p>
    <w:p w:rsidR="000004F1" w:rsidRPr="00CB57B0" w:rsidRDefault="00470943" w:rsidP="00470943">
      <w:pPr>
        <w:numPr>
          <w:ilvl w:val="1"/>
          <w:numId w:val="4"/>
        </w:numPr>
        <w:rPr>
          <w:color w:val="000000"/>
        </w:rPr>
      </w:pPr>
      <w:r w:rsidRPr="00CB57B0">
        <w:rPr>
          <w:color w:val="000000"/>
        </w:rPr>
        <w:t>multijoint arthralgia (without joint swelling or tenderness)</w:t>
      </w:r>
    </w:p>
    <w:p w:rsidR="000004F1" w:rsidRPr="00CB57B0" w:rsidRDefault="00470943" w:rsidP="00470943">
      <w:pPr>
        <w:numPr>
          <w:ilvl w:val="1"/>
          <w:numId w:val="4"/>
        </w:numPr>
        <w:rPr>
          <w:color w:val="000000"/>
        </w:rPr>
      </w:pPr>
      <w:r w:rsidRPr="00CB57B0">
        <w:rPr>
          <w:color w:val="000000"/>
        </w:rPr>
        <w:t>headaches that are new in type, pattern, or severity</w:t>
      </w:r>
    </w:p>
    <w:p w:rsidR="000004F1" w:rsidRPr="00CB57B0" w:rsidRDefault="00470943" w:rsidP="00470943">
      <w:pPr>
        <w:numPr>
          <w:ilvl w:val="1"/>
          <w:numId w:val="4"/>
        </w:numPr>
        <w:rPr>
          <w:color w:val="000000"/>
        </w:rPr>
      </w:pPr>
      <w:r w:rsidRPr="00CB57B0">
        <w:rPr>
          <w:color w:val="000000"/>
        </w:rPr>
        <w:lastRenderedPageBreak/>
        <w:t>unrefreshing sleep</w:t>
      </w:r>
    </w:p>
    <w:p w:rsidR="000004F1" w:rsidRPr="00CB57B0" w:rsidRDefault="00470943" w:rsidP="00470943">
      <w:pPr>
        <w:numPr>
          <w:ilvl w:val="1"/>
          <w:numId w:val="4"/>
        </w:numPr>
        <w:rPr>
          <w:color w:val="000000"/>
        </w:rPr>
      </w:pPr>
      <w:r w:rsidRPr="00CB57B0">
        <w:rPr>
          <w:color w:val="000000"/>
        </w:rPr>
        <w:t>postexertional malaise lasting &gt; 24 h</w:t>
      </w:r>
    </w:p>
    <w:p w:rsidR="000004F1" w:rsidRPr="00CB57B0" w:rsidRDefault="00470943" w:rsidP="00470943">
      <w:pPr>
        <w:numPr>
          <w:ilvl w:val="1"/>
          <w:numId w:val="4"/>
        </w:numPr>
        <w:rPr>
          <w:color w:val="000000"/>
        </w:rPr>
      </w:pPr>
      <w:r w:rsidRPr="00CB57B0">
        <w:rPr>
          <w:color w:val="000000"/>
        </w:rPr>
        <w:t xml:space="preserve">cognitive </w:t>
      </w:r>
      <w:r w:rsidR="000004F1" w:rsidRPr="00CB57B0">
        <w:rPr>
          <w:color w:val="000000"/>
        </w:rPr>
        <w:t>difficulties (</w:t>
      </w:r>
      <w:r w:rsidRPr="00CB57B0">
        <w:rPr>
          <w:color w:val="000000"/>
        </w:rPr>
        <w:t>esp.</w:t>
      </w:r>
      <w:r w:rsidR="000004F1" w:rsidRPr="00CB57B0">
        <w:rPr>
          <w:color w:val="000000"/>
        </w:rPr>
        <w:t xml:space="preserve"> concentrating and sleeping)</w:t>
      </w:r>
    </w:p>
    <w:p w:rsidR="000004F1" w:rsidRPr="00CB57B0" w:rsidRDefault="00470943" w:rsidP="00470943">
      <w:pPr>
        <w:jc w:val="right"/>
        <w:rPr>
          <w:u w:val="single"/>
        </w:rPr>
      </w:pPr>
      <w:r w:rsidRPr="00CB57B0">
        <w:rPr>
          <w:color w:val="000000"/>
        </w:rPr>
        <w:t>*must not predate fatigue.</w:t>
      </w:r>
    </w:p>
    <w:p w:rsidR="00D57D06" w:rsidRPr="00CB57B0" w:rsidRDefault="00D57D06" w:rsidP="006E335B">
      <w:r w:rsidRPr="00CB57B0">
        <w:rPr>
          <w:u w:val="single"/>
        </w:rPr>
        <w:t>Treatment</w:t>
      </w:r>
      <w:r w:rsidRPr="00CB57B0">
        <w:t>:</w:t>
      </w:r>
    </w:p>
    <w:p w:rsidR="00D57D06" w:rsidRPr="00CB57B0" w:rsidRDefault="00D57D06" w:rsidP="00CF11AF">
      <w:pPr>
        <w:numPr>
          <w:ilvl w:val="0"/>
          <w:numId w:val="6"/>
        </w:numPr>
        <w:rPr>
          <w:iCs/>
        </w:rPr>
      </w:pPr>
      <w:r w:rsidRPr="00CB57B0">
        <w:rPr>
          <w:color w:val="0000FF"/>
        </w:rPr>
        <w:t>psychologic support</w:t>
      </w:r>
      <w:r w:rsidR="00470943" w:rsidRPr="00CB57B0">
        <w:t xml:space="preserve"> (individual or group therapy)</w:t>
      </w:r>
      <w:r w:rsidR="00CF11AF" w:rsidRPr="00CB57B0">
        <w:t xml:space="preserve"> - patient should be informed what is known about illness.</w:t>
      </w:r>
    </w:p>
    <w:p w:rsidR="006E335B" w:rsidRPr="00CB57B0" w:rsidRDefault="00470943" w:rsidP="00CF11AF">
      <w:pPr>
        <w:numPr>
          <w:ilvl w:val="0"/>
          <w:numId w:val="6"/>
        </w:numPr>
        <w:rPr>
          <w:iCs/>
        </w:rPr>
      </w:pPr>
      <w:r w:rsidRPr="00CB57B0">
        <w:t xml:space="preserve">nonsedating </w:t>
      </w:r>
      <w:r w:rsidR="006E335B" w:rsidRPr="00CB57B0">
        <w:rPr>
          <w:color w:val="0000FF"/>
        </w:rPr>
        <w:t>antidepressants</w:t>
      </w:r>
    </w:p>
    <w:p w:rsidR="00470943" w:rsidRPr="00CB57B0" w:rsidRDefault="00470943" w:rsidP="00CF11AF">
      <w:pPr>
        <w:numPr>
          <w:ilvl w:val="0"/>
          <w:numId w:val="6"/>
        </w:numPr>
        <w:rPr>
          <w:i/>
        </w:rPr>
      </w:pPr>
      <w:r w:rsidRPr="00CB57B0">
        <w:rPr>
          <w:color w:val="0000FF"/>
        </w:rPr>
        <w:t>physical rehabilitation</w:t>
      </w:r>
      <w:r w:rsidRPr="00CB57B0">
        <w:t xml:space="preserve"> programs; persistent / prolonged rest should be firmly discouraged</w:t>
      </w:r>
      <w:r w:rsidR="00E704AF" w:rsidRPr="00CB57B0">
        <w:t>!</w:t>
      </w:r>
    </w:p>
    <w:p w:rsidR="005E4E52" w:rsidRPr="00CB57B0" w:rsidRDefault="005E4E52" w:rsidP="00CF11AF">
      <w:pPr>
        <w:numPr>
          <w:ilvl w:val="0"/>
          <w:numId w:val="6"/>
        </w:numPr>
        <w:rPr>
          <w:i/>
        </w:rPr>
      </w:pPr>
      <w:r w:rsidRPr="00CB57B0">
        <w:rPr>
          <w:color w:val="0000FF"/>
        </w:rPr>
        <w:t>NSAIDs</w:t>
      </w:r>
      <w:r w:rsidRPr="00CB57B0">
        <w:t xml:space="preserve"> alleviate headache, diffuse pain, and feverishness.</w:t>
      </w:r>
    </w:p>
    <w:p w:rsidR="005E4E52" w:rsidRPr="00CB57B0" w:rsidRDefault="005E4E52" w:rsidP="00CF11AF">
      <w:pPr>
        <w:numPr>
          <w:ilvl w:val="0"/>
          <w:numId w:val="6"/>
        </w:numPr>
        <w:rPr>
          <w:i/>
        </w:rPr>
      </w:pPr>
      <w:r w:rsidRPr="00CB57B0">
        <w:t>guide patients away from unproven therapeutic modalities which are most toxic, expensive, and unreasonable.</w:t>
      </w:r>
    </w:p>
    <w:p w:rsidR="00D57D06" w:rsidRPr="00CB57B0" w:rsidRDefault="00D57D06" w:rsidP="006E335B"/>
    <w:p w:rsidR="006E335B" w:rsidRPr="00CB57B0" w:rsidRDefault="006E335B" w:rsidP="006E335B"/>
    <w:p w:rsidR="007F5426" w:rsidRPr="00CB57B0" w:rsidRDefault="007F5426"/>
    <w:p w:rsidR="007B52F0" w:rsidRPr="00CB57B0" w:rsidRDefault="007B52F0"/>
    <w:p w:rsidR="003969EA" w:rsidRPr="00CB57B0" w:rsidRDefault="003969EA"/>
    <w:p w:rsidR="0082056A" w:rsidRPr="00794A63" w:rsidRDefault="0082056A" w:rsidP="0082056A">
      <w:r w:rsidRPr="00876070">
        <w:rPr>
          <w:smallCaps/>
          <w:u w:val="single"/>
        </w:rPr>
        <w:t>Bibliography</w:t>
      </w:r>
      <w:r w:rsidRPr="00794A63">
        <w:t xml:space="preserve"> for ch. “Psychiatry” → follow this </w:t>
      </w:r>
      <w:hyperlink r:id="rId7" w:tgtFrame="_blank" w:history="1">
        <w:r w:rsidRPr="00E32E0A">
          <w:rPr>
            <w:rStyle w:val="Hyperlink"/>
            <w:smallCaps/>
            <w:szCs w:val="24"/>
          </w:rPr>
          <w:t>link</w:t>
        </w:r>
        <w:r w:rsidRPr="004F3E41">
          <w:rPr>
            <w:rStyle w:val="Hyperlink"/>
            <w:szCs w:val="24"/>
          </w:rPr>
          <w:t xml:space="preserve"> &gt;&gt;</w:t>
        </w:r>
      </w:hyperlink>
    </w:p>
    <w:p w:rsidR="0082056A" w:rsidRDefault="0082056A" w:rsidP="0082056A">
      <w:pPr>
        <w:rPr>
          <w:sz w:val="20"/>
        </w:rPr>
      </w:pPr>
    </w:p>
    <w:p w:rsidR="0082056A" w:rsidRDefault="0082056A" w:rsidP="0082056A">
      <w:pPr>
        <w:pBdr>
          <w:bottom w:val="single" w:sz="4" w:space="1" w:color="auto"/>
        </w:pBdr>
        <w:ind w:right="57"/>
        <w:rPr>
          <w:sz w:val="20"/>
        </w:rPr>
      </w:pPr>
    </w:p>
    <w:p w:rsidR="0082056A" w:rsidRPr="00B806B3" w:rsidRDefault="0082056A" w:rsidP="0082056A">
      <w:pPr>
        <w:pBdr>
          <w:bottom w:val="single" w:sz="4" w:space="1" w:color="auto"/>
        </w:pBdr>
        <w:ind w:right="57"/>
        <w:rPr>
          <w:sz w:val="20"/>
        </w:rPr>
      </w:pPr>
    </w:p>
    <w:p w:rsidR="0082056A" w:rsidRDefault="00955CAA" w:rsidP="0082056A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8" w:tgtFrame="_blank" w:history="1">
        <w:r w:rsidR="0082056A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82056A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82056A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82056A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82056A" w:rsidRPr="00F34741" w:rsidRDefault="00955CAA" w:rsidP="0082056A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9" w:tgtFrame="_blank" w:history="1">
        <w:r w:rsidR="0082056A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856E8F" w:rsidRPr="00CB57B0" w:rsidRDefault="00856E8F" w:rsidP="0060466C"/>
    <w:sectPr w:rsidR="00856E8F" w:rsidRPr="00CB57B0" w:rsidSect="004B4548">
      <w:headerReference w:type="default" r:id="rId10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D97" w:rsidRDefault="003F1D97">
      <w:r>
        <w:separator/>
      </w:r>
    </w:p>
    <w:p w:rsidR="003F1D97" w:rsidRDefault="003F1D97"/>
  </w:endnote>
  <w:endnote w:type="continuationSeparator" w:id="0">
    <w:p w:rsidR="003F1D97" w:rsidRDefault="003F1D97">
      <w:r>
        <w:continuationSeparator/>
      </w:r>
    </w:p>
    <w:p w:rsidR="003F1D97" w:rsidRDefault="003F1D97"/>
    <w:p w:rsidR="003F1D97" w:rsidRDefault="003F1D97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-26670</wp:posOffset>
            </wp:positionV>
            <wp:extent cx="952500" cy="247650"/>
            <wp:effectExtent l="0" t="0" r="0" b="0"/>
            <wp:wrapNone/>
            <wp:docPr id="1" name="Picture 1" descr="Banner_for_pages">
              <a:hlinkClick xmlns:a="http://schemas.openxmlformats.org/drawingml/2006/main" r:id="rId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_for_pages">
                      <a:hlinkClick r:id="rId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D97" w:rsidRDefault="003F1D97">
      <w:r>
        <w:separator/>
      </w:r>
    </w:p>
    <w:p w:rsidR="003F1D97" w:rsidRDefault="003F1D97"/>
  </w:footnote>
  <w:footnote w:type="continuationSeparator" w:id="0">
    <w:p w:rsidR="003F1D97" w:rsidRDefault="003F1D97">
      <w:r>
        <w:continuationSeparator/>
      </w:r>
    </w:p>
    <w:p w:rsidR="003F1D97" w:rsidRDefault="003F1D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Pr="0099697E" w:rsidRDefault="00711CEB" w:rsidP="0099697E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2" name="Picture 2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697E">
      <w:rPr>
        <w:b/>
        <w:caps/>
      </w:rPr>
      <w:tab/>
    </w:r>
    <w:r w:rsidR="0099697E">
      <w:rPr>
        <w:b/>
        <w:bCs/>
        <w:iCs/>
        <w:smallCaps/>
      </w:rPr>
      <w:t>Uncertain Syndromes</w:t>
    </w:r>
    <w:r w:rsidR="0099697E">
      <w:rPr>
        <w:b/>
        <w:bCs/>
        <w:iCs/>
        <w:smallCaps/>
      </w:rPr>
      <w:tab/>
    </w:r>
    <w:r w:rsidR="0099697E">
      <w:t>Psy51 (</w:t>
    </w:r>
    <w:r w:rsidR="0099697E">
      <w:fldChar w:fldCharType="begin"/>
    </w:r>
    <w:r w:rsidR="0099697E">
      <w:instrText xml:space="preserve"> PAGE </w:instrText>
    </w:r>
    <w:r w:rsidR="0099697E">
      <w:fldChar w:fldCharType="separate"/>
    </w:r>
    <w:r w:rsidR="00955CAA">
      <w:rPr>
        <w:noProof/>
      </w:rPr>
      <w:t>1</w:t>
    </w:r>
    <w:r w:rsidR="0099697E">
      <w:fldChar w:fldCharType="end"/>
    </w:r>
    <w:r w:rsidR="0099697E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75C6"/>
    <w:multiLevelType w:val="hybridMultilevel"/>
    <w:tmpl w:val="E03C12C6"/>
    <w:lvl w:ilvl="0" w:tplc="3E3E436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370E7B9A">
      <w:start w:val="1"/>
      <w:numFmt w:val="decimal"/>
      <w:lvlText w:val="%2)"/>
      <w:lvlJc w:val="left"/>
      <w:pPr>
        <w:tabs>
          <w:tab w:val="num" w:pos="2433"/>
        </w:tabs>
        <w:ind w:left="2433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" w15:restartNumberingAfterBreak="0">
    <w:nsid w:val="18DB3B42"/>
    <w:multiLevelType w:val="hybridMultilevel"/>
    <w:tmpl w:val="AAAC22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70E7B9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9C6A0C"/>
    <w:multiLevelType w:val="hybridMultilevel"/>
    <w:tmpl w:val="1DAEE080"/>
    <w:lvl w:ilvl="0" w:tplc="370E7B9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13259A"/>
    <w:multiLevelType w:val="hybridMultilevel"/>
    <w:tmpl w:val="A54600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70E7B9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3E7846"/>
    <w:multiLevelType w:val="hybridMultilevel"/>
    <w:tmpl w:val="EE024BC8"/>
    <w:lvl w:ilvl="0" w:tplc="370E7B9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BB1653"/>
    <w:multiLevelType w:val="hybridMultilevel"/>
    <w:tmpl w:val="23B409AA"/>
    <w:lvl w:ilvl="0" w:tplc="370E7B9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004F1"/>
    <w:rsid w:val="00003D09"/>
    <w:rsid w:val="00064B4E"/>
    <w:rsid w:val="0009465D"/>
    <w:rsid w:val="000B7CF7"/>
    <w:rsid w:val="000C6F37"/>
    <w:rsid w:val="00166491"/>
    <w:rsid w:val="00172F04"/>
    <w:rsid w:val="001C01CD"/>
    <w:rsid w:val="001C45CE"/>
    <w:rsid w:val="001D6014"/>
    <w:rsid w:val="001E3BB7"/>
    <w:rsid w:val="001F32E0"/>
    <w:rsid w:val="00201F72"/>
    <w:rsid w:val="0028486C"/>
    <w:rsid w:val="00313EAF"/>
    <w:rsid w:val="00324AA2"/>
    <w:rsid w:val="00333D55"/>
    <w:rsid w:val="003643C1"/>
    <w:rsid w:val="003963A2"/>
    <w:rsid w:val="003969EA"/>
    <w:rsid w:val="003A6DF0"/>
    <w:rsid w:val="003C3CF0"/>
    <w:rsid w:val="003E2B93"/>
    <w:rsid w:val="003E6C0B"/>
    <w:rsid w:val="003F1D97"/>
    <w:rsid w:val="003F33CF"/>
    <w:rsid w:val="00417029"/>
    <w:rsid w:val="00457144"/>
    <w:rsid w:val="00464562"/>
    <w:rsid w:val="00470943"/>
    <w:rsid w:val="00473CDF"/>
    <w:rsid w:val="0047449B"/>
    <w:rsid w:val="00486EF3"/>
    <w:rsid w:val="00491C32"/>
    <w:rsid w:val="004B4548"/>
    <w:rsid w:val="004C66D2"/>
    <w:rsid w:val="004D387E"/>
    <w:rsid w:val="004D63EF"/>
    <w:rsid w:val="004E56D0"/>
    <w:rsid w:val="00514AF8"/>
    <w:rsid w:val="00520CBA"/>
    <w:rsid w:val="00586EBB"/>
    <w:rsid w:val="00591390"/>
    <w:rsid w:val="00592BD8"/>
    <w:rsid w:val="00595C8B"/>
    <w:rsid w:val="005D16F2"/>
    <w:rsid w:val="005E4E52"/>
    <w:rsid w:val="0060466C"/>
    <w:rsid w:val="00613516"/>
    <w:rsid w:val="00680811"/>
    <w:rsid w:val="006A7427"/>
    <w:rsid w:val="006D0D5C"/>
    <w:rsid w:val="006E335B"/>
    <w:rsid w:val="006E6BF2"/>
    <w:rsid w:val="00703E3C"/>
    <w:rsid w:val="00711C9B"/>
    <w:rsid w:val="00711CEB"/>
    <w:rsid w:val="00716FE1"/>
    <w:rsid w:val="00751186"/>
    <w:rsid w:val="00751902"/>
    <w:rsid w:val="00767B36"/>
    <w:rsid w:val="0078746A"/>
    <w:rsid w:val="007950C5"/>
    <w:rsid w:val="007A681B"/>
    <w:rsid w:val="007B289C"/>
    <w:rsid w:val="007B52F0"/>
    <w:rsid w:val="007D7773"/>
    <w:rsid w:val="007E32B6"/>
    <w:rsid w:val="007E7EAF"/>
    <w:rsid w:val="007F0B79"/>
    <w:rsid w:val="007F5426"/>
    <w:rsid w:val="008036DF"/>
    <w:rsid w:val="0082056A"/>
    <w:rsid w:val="00821995"/>
    <w:rsid w:val="00827474"/>
    <w:rsid w:val="008314DE"/>
    <w:rsid w:val="00844A97"/>
    <w:rsid w:val="00851ABC"/>
    <w:rsid w:val="00856E8F"/>
    <w:rsid w:val="00862072"/>
    <w:rsid w:val="008740A6"/>
    <w:rsid w:val="00890E69"/>
    <w:rsid w:val="008912C0"/>
    <w:rsid w:val="008A2A0F"/>
    <w:rsid w:val="008B6179"/>
    <w:rsid w:val="008C4C0A"/>
    <w:rsid w:val="008D23F4"/>
    <w:rsid w:val="008D50E5"/>
    <w:rsid w:val="008F1350"/>
    <w:rsid w:val="008F63CC"/>
    <w:rsid w:val="009128A9"/>
    <w:rsid w:val="0093074D"/>
    <w:rsid w:val="00937ECB"/>
    <w:rsid w:val="00943F0C"/>
    <w:rsid w:val="00955C61"/>
    <w:rsid w:val="00955CAA"/>
    <w:rsid w:val="00974427"/>
    <w:rsid w:val="0099697E"/>
    <w:rsid w:val="009B3984"/>
    <w:rsid w:val="009C2A05"/>
    <w:rsid w:val="009F28EB"/>
    <w:rsid w:val="00A1460C"/>
    <w:rsid w:val="00A26E41"/>
    <w:rsid w:val="00A31ECA"/>
    <w:rsid w:val="00A55B78"/>
    <w:rsid w:val="00A6177D"/>
    <w:rsid w:val="00A908F0"/>
    <w:rsid w:val="00AA38E0"/>
    <w:rsid w:val="00AD7C55"/>
    <w:rsid w:val="00AE4468"/>
    <w:rsid w:val="00AF2D0F"/>
    <w:rsid w:val="00AF640B"/>
    <w:rsid w:val="00B0641B"/>
    <w:rsid w:val="00B23948"/>
    <w:rsid w:val="00B25E0D"/>
    <w:rsid w:val="00BB4053"/>
    <w:rsid w:val="00C4530E"/>
    <w:rsid w:val="00C45B61"/>
    <w:rsid w:val="00C50017"/>
    <w:rsid w:val="00C62236"/>
    <w:rsid w:val="00C71D46"/>
    <w:rsid w:val="00CB57B0"/>
    <w:rsid w:val="00CD3A28"/>
    <w:rsid w:val="00CF11AF"/>
    <w:rsid w:val="00D2490B"/>
    <w:rsid w:val="00D42A5B"/>
    <w:rsid w:val="00D46ECD"/>
    <w:rsid w:val="00D57D06"/>
    <w:rsid w:val="00D727BA"/>
    <w:rsid w:val="00D92CEE"/>
    <w:rsid w:val="00D932BD"/>
    <w:rsid w:val="00DB0BCE"/>
    <w:rsid w:val="00DE0C59"/>
    <w:rsid w:val="00DF1123"/>
    <w:rsid w:val="00E06B37"/>
    <w:rsid w:val="00E25F5B"/>
    <w:rsid w:val="00E704AF"/>
    <w:rsid w:val="00E71C1E"/>
    <w:rsid w:val="00E82EBA"/>
    <w:rsid w:val="00E8598C"/>
    <w:rsid w:val="00E92BCD"/>
    <w:rsid w:val="00ED394A"/>
    <w:rsid w:val="00ED6AC5"/>
    <w:rsid w:val="00F13481"/>
    <w:rsid w:val="00F3031F"/>
    <w:rsid w:val="00F35390"/>
    <w:rsid w:val="00F449DF"/>
    <w:rsid w:val="00F65C5C"/>
    <w:rsid w:val="00F87440"/>
    <w:rsid w:val="00F92386"/>
    <w:rsid w:val="00FA412F"/>
    <w:rsid w:val="00FB47CA"/>
    <w:rsid w:val="00FC30F0"/>
    <w:rsid w:val="00FD66AA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5DEE8C7-6719-47A9-9C25-FEAF01F6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97E"/>
    <w:rPr>
      <w:sz w:val="24"/>
    </w:rPr>
  </w:style>
  <w:style w:type="paragraph" w:styleId="Heading1">
    <w:name w:val="heading 1"/>
    <w:basedOn w:val="Normal"/>
    <w:next w:val="Normal"/>
    <w:qFormat/>
    <w:rsid w:val="001C45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C45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C45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99697E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99697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rsid w:val="0099697E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99697E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99697E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99697E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99697E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99697E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99697E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99697E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99697E"/>
    <w:rPr>
      <w:color w:val="999999"/>
      <w:u w:val="none"/>
    </w:rPr>
  </w:style>
  <w:style w:type="paragraph" w:customStyle="1" w:styleId="Nervous4">
    <w:name w:val="Nervous 4"/>
    <w:basedOn w:val="Normal"/>
    <w:rsid w:val="0099697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99697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Title">
    <w:name w:val="Title"/>
    <w:basedOn w:val="Normal"/>
    <w:qFormat/>
    <w:rsid w:val="0099697E"/>
    <w:pPr>
      <w:spacing w:before="240"/>
      <w:jc w:val="center"/>
    </w:pPr>
    <w:rPr>
      <w:b/>
      <w:bCs/>
      <w:i/>
      <w:iCs/>
      <w:sz w:val="44"/>
    </w:rPr>
  </w:style>
  <w:style w:type="paragraph" w:customStyle="1" w:styleId="Drugname">
    <w:name w:val="Drug name"/>
    <w:basedOn w:val="NormalWeb"/>
    <w:autoRedefine/>
    <w:rsid w:val="0099697E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99697E"/>
    <w:rPr>
      <w:szCs w:val="24"/>
    </w:rPr>
  </w:style>
  <w:style w:type="paragraph" w:customStyle="1" w:styleId="Nervous7">
    <w:name w:val="Nervous 7"/>
    <w:basedOn w:val="Normal"/>
    <w:rsid w:val="0099697E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99697E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99697E"/>
    <w:rPr>
      <w:color w:val="999999"/>
      <w:u w:val="none"/>
    </w:rPr>
  </w:style>
  <w:style w:type="paragraph" w:customStyle="1" w:styleId="Nervous6">
    <w:name w:val="Nervous 6"/>
    <w:basedOn w:val="Normal"/>
    <w:rsid w:val="0099697E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9">
    <w:name w:val="Nervous 9"/>
    <w:rsid w:val="0099697E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semiHidden/>
    <w:rsid w:val="0099697E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99697E"/>
    <w:rPr>
      <w:i/>
      <w:smallCaps/>
      <w:color w:val="999999"/>
      <w:szCs w:val="24"/>
    </w:rPr>
  </w:style>
  <w:style w:type="paragraph" w:styleId="BalloonText">
    <w:name w:val="Balloon Text"/>
    <w:basedOn w:val="Normal"/>
    <w:link w:val="BalloonTextChar"/>
    <w:rsid w:val="009969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697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9697E"/>
    <w:rPr>
      <w:color w:val="99999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Psy.%20Psychiatry\Psy.%20Bibliography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" TargetMode="Externa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2</TotalTime>
  <Pages>2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Uncertain Syndromes</vt:lpstr>
    </vt:vector>
  </TitlesOfParts>
  <Company>www.NeurosurgeryResident.net</Company>
  <LinksUpToDate>false</LinksUpToDate>
  <CharactersWithSpaces>6420</CharactersWithSpaces>
  <SharedDoc>false</SharedDoc>
  <HLinks>
    <vt:vector size="48" baseType="variant">
      <vt:variant>
        <vt:i4>5242973</vt:i4>
      </vt:variant>
      <vt:variant>
        <vt:i4>30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27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1769564</vt:i4>
      </vt:variant>
      <vt:variant>
        <vt:i4>24</vt:i4>
      </vt:variant>
      <vt:variant>
        <vt:i4>0</vt:i4>
      </vt:variant>
      <vt:variant>
        <vt:i4>5</vt:i4>
      </vt:variant>
      <vt:variant>
        <vt:lpwstr>Psy. Bibliography.doc</vt:lpwstr>
      </vt:variant>
      <vt:variant>
        <vt:lpwstr/>
      </vt:variant>
      <vt:variant>
        <vt:i4>1638462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_Toc240645898</vt:lpwstr>
      </vt:variant>
      <vt:variant>
        <vt:i4>1638462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_Toc240645897</vt:lpwstr>
      </vt:variant>
      <vt:variant>
        <vt:i4>1638462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_Toc240645896</vt:lpwstr>
      </vt:variant>
      <vt:variant>
        <vt:i4>5242973</vt:i4>
      </vt:variant>
      <vt:variant>
        <vt:i4>-1</vt:i4>
      </vt:variant>
      <vt:variant>
        <vt:i4>2049</vt:i4>
      </vt:variant>
      <vt:variant>
        <vt:i4>4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-1</vt:i4>
      </vt:variant>
      <vt:variant>
        <vt:i4>2050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Uncertain Syndromes</dc:title>
  <dc:subject/>
  <dc:creator>Viktoras Palys, MD</dc:creator>
  <cp:keywords/>
  <cp:lastModifiedBy>Viktoras Palys</cp:lastModifiedBy>
  <cp:revision>7</cp:revision>
  <cp:lastPrinted>2019-04-25T04:08:00Z</cp:lastPrinted>
  <dcterms:created xsi:type="dcterms:W3CDTF">2016-03-15T01:17:00Z</dcterms:created>
  <dcterms:modified xsi:type="dcterms:W3CDTF">2019-04-25T04:08:00Z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