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90" w:rsidRDefault="00274090">
      <w:pPr>
        <w:pStyle w:val="Title"/>
        <w:spacing w:after="120"/>
      </w:pPr>
      <w:bookmarkStart w:id="0" w:name="_GoBack"/>
      <w:bookmarkEnd w:id="0"/>
      <w:r>
        <w:t>Fatty Acid Oxidation Disorders</w:t>
      </w:r>
    </w:p>
    <w:p w:rsidR="00274090" w:rsidRDefault="00274090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GB"/>
        </w:rPr>
      </w:pPr>
      <w:r>
        <w:rPr>
          <w:bCs/>
          <w:i/>
          <w:iCs/>
          <w:smallCaps w:val="0"/>
        </w:rPr>
        <w:fldChar w:fldCharType="begin"/>
      </w:r>
      <w:r>
        <w:rPr>
          <w:bCs/>
          <w:i/>
          <w:iCs/>
          <w:smallCaps w:val="0"/>
        </w:rPr>
        <w:instrText xml:space="preserve"> TOC \h \z \t "Nervous 1;1;Nervous 5;2" </w:instrText>
      </w:r>
      <w:r>
        <w:rPr>
          <w:bCs/>
          <w:i/>
          <w:iCs/>
          <w:smallCaps w:val="0"/>
        </w:rPr>
        <w:fldChar w:fldCharType="separate"/>
      </w:r>
      <w:hyperlink w:anchor="_Toc119917358" w:history="1">
        <w:r>
          <w:rPr>
            <w:rStyle w:val="Hyperlink"/>
            <w:noProof/>
            <w:szCs w:val="32"/>
            <w:lang w:val="en-US"/>
          </w:rPr>
          <w:t>Carnitine Deficiency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OC2"/>
        <w:tabs>
          <w:tab w:val="right" w:leader="dot" w:pos="9912"/>
        </w:tabs>
        <w:rPr>
          <w:smallCaps w:val="0"/>
          <w:noProof/>
          <w:szCs w:val="24"/>
          <w:lang w:val="en-GB"/>
        </w:rPr>
      </w:pPr>
      <w:hyperlink w:anchor="_Toc119917359" w:history="1">
        <w:r>
          <w:rPr>
            <w:rStyle w:val="Hyperlink"/>
            <w:noProof/>
            <w:szCs w:val="28"/>
          </w:rPr>
          <w:t>Primary Generalized Carnitine Deficien</w:t>
        </w:r>
        <w:r>
          <w:rPr>
            <w:rStyle w:val="Hyperlink"/>
            <w:noProof/>
            <w:szCs w:val="28"/>
          </w:rPr>
          <w:t>c</w:t>
        </w:r>
        <w:r>
          <w:rPr>
            <w:rStyle w:val="Hyperlink"/>
            <w:noProof/>
            <w:szCs w:val="28"/>
          </w:rPr>
          <w:t>y (carnitine transport defect)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OC2"/>
        <w:tabs>
          <w:tab w:val="right" w:leader="dot" w:pos="9912"/>
        </w:tabs>
        <w:rPr>
          <w:smallCaps w:val="0"/>
          <w:noProof/>
          <w:szCs w:val="24"/>
          <w:lang w:val="en-GB"/>
        </w:rPr>
      </w:pPr>
      <w:hyperlink w:anchor="_Toc119917360" w:history="1">
        <w:r>
          <w:rPr>
            <w:rStyle w:val="Hyperlink"/>
            <w:noProof/>
            <w:szCs w:val="28"/>
          </w:rPr>
          <w:t>Primary Muscle Carnitine Deficiency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OC2"/>
        <w:tabs>
          <w:tab w:val="right" w:leader="dot" w:pos="9912"/>
        </w:tabs>
        <w:rPr>
          <w:smallCaps w:val="0"/>
          <w:noProof/>
          <w:szCs w:val="24"/>
          <w:lang w:val="en-GB"/>
        </w:rPr>
      </w:pPr>
      <w:hyperlink w:anchor="_Toc119917361" w:history="1">
        <w:r>
          <w:rPr>
            <w:rStyle w:val="Hyperlink"/>
            <w:noProof/>
            <w:szCs w:val="28"/>
          </w:rPr>
          <w:t>Secondary Carnitine Deficiency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GB"/>
        </w:rPr>
      </w:pPr>
      <w:hyperlink w:anchor="_Toc119917362" w:history="1">
        <w:r>
          <w:rPr>
            <w:rStyle w:val="Hyperlink"/>
            <w:noProof/>
            <w:szCs w:val="32"/>
            <w:lang w:val="en-US"/>
          </w:rPr>
          <w:t>Medium-Chain Acyl-CoA Dehydrogenase Deficiency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GB"/>
        </w:rPr>
      </w:pPr>
      <w:hyperlink w:anchor="_Toc119917363" w:history="1">
        <w:r>
          <w:rPr>
            <w:rStyle w:val="Hyperlink"/>
            <w:noProof/>
            <w:szCs w:val="32"/>
            <w:lang w:val="en-US"/>
          </w:rPr>
          <w:t>Carnitine Palmitoyl Transferase De</w:t>
        </w:r>
        <w:r>
          <w:rPr>
            <w:rStyle w:val="Hyperlink"/>
            <w:noProof/>
            <w:szCs w:val="32"/>
            <w:lang w:val="en-US"/>
          </w:rPr>
          <w:t>f</w:t>
        </w:r>
        <w:r>
          <w:rPr>
            <w:rStyle w:val="Hyperlink"/>
            <w:noProof/>
            <w:szCs w:val="32"/>
            <w:lang w:val="en-US"/>
          </w:rPr>
          <w:t>iciency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_Toc119917363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74090" w:rsidRDefault="00274090">
      <w:pPr>
        <w:pStyle w:val="Title"/>
        <w:jc w:val="left"/>
        <w:rPr>
          <w:sz w:val="24"/>
        </w:rPr>
      </w:pPr>
      <w:r>
        <w:rPr>
          <w:bCs w:val="0"/>
          <w:i w:val="0"/>
          <w:iCs w:val="0"/>
          <w:smallCaps/>
          <w:sz w:val="24"/>
          <w:lang w:val="lt-LT"/>
        </w:rPr>
        <w:fldChar w:fldCharType="end"/>
      </w:r>
    </w:p>
    <w:p w:rsidR="00274090" w:rsidRDefault="00274090">
      <w:pPr>
        <w:pStyle w:val="NormalWeb"/>
      </w:pPr>
      <w:r>
        <w:t>Most are autosomal recessive.</w:t>
      </w:r>
    </w:p>
    <w:p w:rsidR="00274090" w:rsidRDefault="00274090">
      <w:pPr>
        <w:pStyle w:val="Title"/>
        <w:jc w:val="left"/>
        <w:rPr>
          <w:sz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6"/>
      </w:tblGrid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bCs/>
              </w:rPr>
              <w:t>INFANTILE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Medium-chain </w:t>
            </w:r>
            <w:r>
              <w:rPr>
                <w:b/>
                <w:bCs/>
                <w:color w:val="0000FF"/>
              </w:rPr>
              <w:t>acyl-CoA dehydrogenase</w:t>
            </w:r>
            <w:r>
              <w:t xml:space="preserve"> deficiency (MCAD)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Long-chain </w:t>
            </w:r>
            <w:r>
              <w:rPr>
                <w:b/>
                <w:bCs/>
                <w:color w:val="0000FF"/>
              </w:rPr>
              <w:t>acyl-CoA dehydrogenase</w:t>
            </w:r>
            <w:r>
              <w:t xml:space="preserve"> deficiency (LCAD)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Short-chain </w:t>
            </w:r>
            <w:r>
              <w:rPr>
                <w:b/>
                <w:bCs/>
                <w:color w:val="0000FF"/>
              </w:rPr>
              <w:t>acyl-CoA dehydrogenase</w:t>
            </w:r>
            <w:r>
              <w:t xml:space="preserve"> deficiency (SCAD)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CPT II deficiency (infantile form)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bCs/>
              </w:rPr>
              <w:t>CHILDHOOD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Carnitine transport defect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CPT I deficiency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Long-chain L-3 hydroxyacyl-CoA dehydrogenase (LCHAD, trifunctional enzyme)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bCs/>
              </w:rPr>
              <w:t>ADULTHOOD</w:t>
            </w:r>
          </w:p>
        </w:tc>
      </w:tr>
      <w:tr w:rsidR="0027409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4090" w:rsidRDefault="00274090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CPT II deficiency (adult form)</w:t>
            </w:r>
          </w:p>
        </w:tc>
      </w:tr>
    </w:tbl>
    <w:p w:rsidR="00274090" w:rsidRDefault="00274090">
      <w:pPr>
        <w:jc w:val="right"/>
      </w:pPr>
      <w:r>
        <w:t>CPT - Carnitine Palmitoyl Transferase</w:t>
      </w:r>
    </w:p>
    <w:p w:rsidR="00274090" w:rsidRDefault="00274090">
      <w:pPr>
        <w:pStyle w:val="Header"/>
        <w:tabs>
          <w:tab w:val="clear" w:pos="4320"/>
          <w:tab w:val="clear" w:pos="8640"/>
        </w:tabs>
      </w:pPr>
    </w:p>
    <w:p w:rsidR="00274090" w:rsidRDefault="00274090">
      <w:pPr>
        <w:pStyle w:val="NormalWeb"/>
        <w:rPr>
          <w:u w:val="single"/>
        </w:rPr>
      </w:pPr>
      <w:r>
        <w:rPr>
          <w:u w:val="single"/>
        </w:rPr>
        <w:t>Three main presentations:</w:t>
      </w:r>
    </w:p>
    <w:p w:rsidR="00274090" w:rsidRDefault="00274090">
      <w:pPr>
        <w:pStyle w:val="NormalWeb"/>
        <w:numPr>
          <w:ilvl w:val="0"/>
          <w:numId w:val="1"/>
        </w:numPr>
      </w:pPr>
      <w:r>
        <w:t xml:space="preserve">acute toxic hepatic Reye-like </w:t>
      </w:r>
      <w:r>
        <w:rPr>
          <w:b/>
          <w:bCs/>
          <w:smallCaps/>
        </w:rPr>
        <w:t>encephalopathy</w:t>
      </w:r>
      <w:r>
        <w:t xml:space="preserve"> + episodes of fasting </w:t>
      </w:r>
      <w:r>
        <w:rPr>
          <w:b/>
          <w:bCs/>
        </w:rPr>
        <w:t>nonketotic</w:t>
      </w:r>
      <w:r>
        <w:t xml:space="preserve"> </w:t>
      </w:r>
      <w:r>
        <w:rPr>
          <w:b/>
          <w:bCs/>
          <w:smallCaps/>
        </w:rPr>
        <w:t>hypoglycemia</w:t>
      </w:r>
      <w:r>
        <w:t xml:space="preserve"> in first 2 years of life (MCAD)</w:t>
      </w:r>
    </w:p>
    <w:p w:rsidR="00274090" w:rsidRDefault="00274090">
      <w:pPr>
        <w:pStyle w:val="NormalWeb"/>
        <w:numPr>
          <w:ilvl w:val="0"/>
          <w:numId w:val="1"/>
        </w:numPr>
      </w:pPr>
      <w:r>
        <w:t xml:space="preserve">skeletal / cardiac </w:t>
      </w:r>
      <w:r>
        <w:rPr>
          <w:b/>
          <w:bCs/>
          <w:smallCaps/>
        </w:rPr>
        <w:t>myopathies</w:t>
      </w:r>
      <w:r>
        <w:t xml:space="preserve"> with weakness + low plasma carnitine (carnitine deficiencies, CPT I and II deficiencies, LCAD, LCHAD, SCAD):</w:t>
      </w:r>
      <w:r>
        <w:tab/>
      </w:r>
      <w:r>
        <w:tab/>
      </w:r>
      <w:r>
        <w:rPr>
          <w:color w:val="808080"/>
        </w:rPr>
        <w:t>see Met1 p.</w:t>
      </w:r>
    </w:p>
    <w:p w:rsidR="00274090" w:rsidRDefault="00274090">
      <w:pPr>
        <w:pStyle w:val="NormalWeb"/>
        <w:numPr>
          <w:ilvl w:val="1"/>
          <w:numId w:val="1"/>
        </w:numPr>
      </w:pPr>
      <w:r>
        <w:rPr>
          <w:smallCaps/>
          <w:color w:val="0000FF"/>
        </w:rPr>
        <w:t>dynamic</w:t>
      </w:r>
      <w:r>
        <w:rPr>
          <w:color w:val="0000FF"/>
        </w:rPr>
        <w:t xml:space="preserve"> myopathy</w:t>
      </w:r>
      <w:r>
        <w:t xml:space="preserve"> (dynamic exercise intolerance with myoglobinuria) - CPT I and II deficiencies</w:t>
      </w:r>
    </w:p>
    <w:p w:rsidR="00274090" w:rsidRDefault="00274090">
      <w:pPr>
        <w:pStyle w:val="NormalWeb"/>
        <w:numPr>
          <w:ilvl w:val="1"/>
          <w:numId w:val="1"/>
        </w:numPr>
      </w:pPr>
      <w:r>
        <w:rPr>
          <w:smallCaps/>
          <w:color w:val="0000FF"/>
        </w:rPr>
        <w:t>static</w:t>
      </w:r>
      <w:r>
        <w:rPr>
          <w:color w:val="0000FF"/>
        </w:rPr>
        <w:t xml:space="preserve"> myopathy</w:t>
      </w:r>
      <w:r>
        <w:t xml:space="preserve"> (static weakness with lipid storage myopathy) - carnitine deficiencies</w:t>
      </w:r>
    </w:p>
    <w:p w:rsidR="00274090" w:rsidRDefault="00274090">
      <w:pPr>
        <w:pStyle w:val="NormalWeb"/>
        <w:numPr>
          <w:ilvl w:val="0"/>
          <w:numId w:val="1"/>
        </w:numPr>
      </w:pPr>
      <w:r>
        <w:t xml:space="preserve">nonketotic </w:t>
      </w:r>
      <w:r>
        <w:rPr>
          <w:b/>
          <w:bCs/>
          <w:smallCaps/>
        </w:rPr>
        <w:t>hypoglycemia</w:t>
      </w:r>
      <w:r>
        <w:t xml:space="preserve"> + very low plasma carnitine + absent dicarboxylicaciduria (carnitine transport defect).</w:t>
      </w:r>
    </w:p>
    <w:p w:rsidR="00274090" w:rsidRDefault="00274090">
      <w:pPr>
        <w:pStyle w:val="Header"/>
        <w:tabs>
          <w:tab w:val="clear" w:pos="4320"/>
          <w:tab w:val="clear" w:pos="8640"/>
        </w:tabs>
      </w:pPr>
    </w:p>
    <w:p w:rsidR="00274090" w:rsidRDefault="00274090">
      <w:pPr>
        <w:pStyle w:val="Header"/>
        <w:tabs>
          <w:tab w:val="clear" w:pos="4320"/>
          <w:tab w:val="clear" w:pos="8640"/>
        </w:tabs>
      </w:pPr>
    </w:p>
    <w:p w:rsidR="00274090" w:rsidRDefault="00274090">
      <w:pPr>
        <w:pStyle w:val="Nervous1"/>
      </w:pPr>
      <w:bookmarkStart w:id="1" w:name="_Toc119917358"/>
      <w:r>
        <w:t>Carnitine Deficiency</w:t>
      </w:r>
      <w:bookmarkEnd w:id="1"/>
    </w:p>
    <w:p w:rsidR="00274090" w:rsidRDefault="00274090">
      <w:pPr>
        <w:pStyle w:val="NormalWeb"/>
        <w:numPr>
          <w:ilvl w:val="0"/>
          <w:numId w:val="2"/>
        </w:numPr>
      </w:pPr>
      <w:r>
        <w:t>Primary:</w:t>
      </w:r>
    </w:p>
    <w:p w:rsidR="00274090" w:rsidRDefault="00274090">
      <w:pPr>
        <w:pStyle w:val="NormalWeb"/>
        <w:numPr>
          <w:ilvl w:val="1"/>
          <w:numId w:val="2"/>
        </w:numPr>
      </w:pPr>
      <w:r>
        <w:t>primary generalized (systemic) carnitine deficiency</w:t>
      </w:r>
    </w:p>
    <w:p w:rsidR="00274090" w:rsidRDefault="00274090">
      <w:pPr>
        <w:pStyle w:val="NormalWeb"/>
        <w:numPr>
          <w:ilvl w:val="1"/>
          <w:numId w:val="2"/>
        </w:numPr>
      </w:pPr>
      <w:r>
        <w:t>primary muscle carnitine deficiency</w:t>
      </w:r>
    </w:p>
    <w:p w:rsidR="00274090" w:rsidRDefault="00274090">
      <w:pPr>
        <w:pStyle w:val="NormalWeb"/>
        <w:numPr>
          <w:ilvl w:val="0"/>
          <w:numId w:val="2"/>
        </w:numPr>
      </w:pPr>
      <w:r>
        <w:t>Secondary</w:t>
      </w:r>
    </w:p>
    <w:p w:rsidR="00274090" w:rsidRDefault="00274090">
      <w:pPr>
        <w:pStyle w:val="Header"/>
        <w:tabs>
          <w:tab w:val="clear" w:pos="4320"/>
          <w:tab w:val="clear" w:pos="8640"/>
        </w:tabs>
      </w:pPr>
    </w:p>
    <w:p w:rsidR="00274090" w:rsidRDefault="00274090" w:rsidP="009A1D89">
      <w:pPr>
        <w:pStyle w:val="Nervous5"/>
        <w:ind w:right="2834"/>
      </w:pPr>
      <w:bookmarkStart w:id="2" w:name="_Toc119917359"/>
      <w:r>
        <w:t>Primary Generalized Carnitine Deficiency (carnitine transport defect)</w:t>
      </w:r>
      <w:bookmarkEnd w:id="2"/>
    </w:p>
    <w:p w:rsidR="00274090" w:rsidRDefault="00274090">
      <w:pPr>
        <w:pStyle w:val="NormalWeb"/>
      </w:pPr>
      <w:r>
        <w:rPr>
          <w:b/>
          <w:bCs/>
          <w:smallCaps/>
          <w:color w:val="0000FF"/>
        </w:rPr>
        <w:t>High-affinity carnitine receptor defect</w:t>
      </w:r>
      <w:r>
        <w:t xml:space="preserve"> - carnitine fails to be taken up in muscle, heart, and kidney (but not liver):</w:t>
      </w:r>
    </w:p>
    <w:p w:rsidR="00274090" w:rsidRDefault="00274090">
      <w:pPr>
        <w:pStyle w:val="NormalWeb"/>
        <w:numPr>
          <w:ilvl w:val="0"/>
          <w:numId w:val="4"/>
        </w:numPr>
      </w:pPr>
      <w:r>
        <w:lastRenderedPageBreak/>
        <w:t xml:space="preserve">kidney fails to conserve carnitine by reabsorption → </w:t>
      </w:r>
      <w:r>
        <w:rPr>
          <w:b/>
          <w:bCs/>
        </w:rPr>
        <w:t>very low plasma [carnitine]</w:t>
      </w:r>
      <w:r>
        <w:t xml:space="preserve"> (&lt;10 µM).*</w:t>
      </w:r>
    </w:p>
    <w:p w:rsidR="00274090" w:rsidRDefault="00274090">
      <w:pPr>
        <w:pStyle w:val="NormalWeb"/>
        <w:numPr>
          <w:ilvl w:val="0"/>
          <w:numId w:val="4"/>
        </w:numPr>
      </w:pPr>
      <w:r>
        <w:t xml:space="preserve">very low plasma [carnitine] → decreased passive diffusion into liver → impaired ketogenesis → </w:t>
      </w:r>
      <w:r>
        <w:rPr>
          <w:b/>
          <w:bCs/>
        </w:rPr>
        <w:t>nonketotic</w:t>
      </w:r>
      <w:r>
        <w:t xml:space="preserve"> </w:t>
      </w:r>
      <w:r>
        <w:rPr>
          <w:b/>
          <w:bCs/>
          <w:smallCaps/>
        </w:rPr>
        <w:t>hypoglycemia</w:t>
      </w:r>
    </w:p>
    <w:p w:rsidR="00274090" w:rsidRDefault="00274090">
      <w:pPr>
        <w:pStyle w:val="NormalWeb"/>
        <w:numPr>
          <w:ilvl w:val="0"/>
          <w:numId w:val="4"/>
        </w:numPr>
      </w:pPr>
      <w:r>
        <w:t xml:space="preserve">accumulating acyl-CoA becomes substrate for peroxisomal β-oxidation – this produces </w:t>
      </w:r>
      <w:r>
        <w:rPr>
          <w:i/>
          <w:iCs/>
        </w:rPr>
        <w:t>medium-chain fatty acids</w:t>
      </w:r>
      <w:r>
        <w:t xml:space="preserve"> and </w:t>
      </w:r>
      <w:r>
        <w:rPr>
          <w:i/>
          <w:iCs/>
        </w:rPr>
        <w:t>dicarboxylic acids</w:t>
      </w:r>
      <w:r>
        <w:t xml:space="preserve">, which do not require carnitine for mitochondrial entry → </w:t>
      </w:r>
      <w:r>
        <w:rPr>
          <w:b/>
          <w:bCs/>
        </w:rPr>
        <w:t>absent dicarboxylicaciduria</w:t>
      </w:r>
      <w:r>
        <w:t>.*</w:t>
      </w:r>
    </w:p>
    <w:p w:rsidR="00274090" w:rsidRDefault="00274090">
      <w:pPr>
        <w:pStyle w:val="NormalWeb"/>
        <w:jc w:val="right"/>
      </w:pPr>
      <w:r>
        <w:t>* pathognomonic of carnitine transport defect.</w:t>
      </w:r>
    </w:p>
    <w:p w:rsidR="00274090" w:rsidRDefault="00274090">
      <w:pPr>
        <w:pStyle w:val="Nervous6"/>
        <w:ind w:right="7795"/>
      </w:pPr>
      <w:r>
        <w:t>Clinical Features</w:t>
      </w:r>
    </w:p>
    <w:p w:rsidR="00274090" w:rsidRDefault="00274090">
      <w:pPr>
        <w:pStyle w:val="NormalWeb"/>
        <w:numPr>
          <w:ilvl w:val="0"/>
          <w:numId w:val="5"/>
        </w:numPr>
      </w:pPr>
      <w:r>
        <w:t>rare disorder, unknown exact incidence.</w:t>
      </w:r>
    </w:p>
    <w:p w:rsidR="00274090" w:rsidRDefault="00274090">
      <w:pPr>
        <w:pStyle w:val="NormalWeb"/>
        <w:numPr>
          <w:ilvl w:val="0"/>
          <w:numId w:val="5"/>
        </w:numPr>
      </w:pPr>
      <w:r>
        <w:rPr>
          <w:u w:val="single"/>
        </w:rPr>
        <w:t>two major types</w:t>
      </w:r>
      <w:r>
        <w:t>:</w:t>
      </w:r>
    </w:p>
    <w:p w:rsidR="00274090" w:rsidRDefault="00274090">
      <w:pPr>
        <w:pStyle w:val="NormalWeb"/>
        <w:numPr>
          <w:ilvl w:val="1"/>
          <w:numId w:val="5"/>
        </w:numPr>
      </w:pPr>
      <w:r>
        <w:rPr>
          <w:b/>
          <w:bCs/>
        </w:rPr>
        <w:t>early presentation</w:t>
      </w:r>
      <w:r>
        <w:t xml:space="preserve"> (3 months to 2½ years) - </w:t>
      </w:r>
      <w:r>
        <w:rPr>
          <w:szCs w:val="20"/>
        </w:rPr>
        <w:t xml:space="preserve">episodes of </w:t>
      </w:r>
      <w:r>
        <w:t xml:space="preserve">acute </w:t>
      </w:r>
      <w:r>
        <w:rPr>
          <w:b/>
          <w:bCs/>
          <w:i/>
          <w:iCs/>
          <w:color w:val="0000FF"/>
        </w:rPr>
        <w:t>hepatic Reye-like encephalopathy</w:t>
      </w:r>
      <w:r>
        <w:rPr>
          <w:szCs w:val="20"/>
        </w:rPr>
        <w:t xml:space="preserve">, </w:t>
      </w:r>
      <w:r>
        <w:rPr>
          <w:b/>
          <w:bCs/>
          <w:i/>
          <w:iCs/>
          <w:color w:val="0000FF"/>
        </w:rPr>
        <w:t>nonketotic hypoglycemia</w:t>
      </w:r>
      <w:r>
        <w:t xml:space="preserve"> accompanied by hyperammonemia and ALT &amp; AST↑ after short fast (esp. if patient is being fed carnitine-free formula)</w:t>
      </w:r>
      <w:r>
        <w:rPr>
          <w:szCs w:val="20"/>
        </w:rPr>
        <w:t xml:space="preserve"> → early death.</w:t>
      </w:r>
    </w:p>
    <w:p w:rsidR="00274090" w:rsidRDefault="00274090">
      <w:pPr>
        <w:pStyle w:val="NormalWeb"/>
        <w:numPr>
          <w:ilvl w:val="1"/>
          <w:numId w:val="5"/>
        </w:numPr>
      </w:pPr>
      <w:r>
        <w:rPr>
          <w:b/>
          <w:bCs/>
        </w:rPr>
        <w:t>later presentation</w:t>
      </w:r>
      <w:r>
        <w:t xml:space="preserve"> (1 to 7 years):</w:t>
      </w:r>
    </w:p>
    <w:p w:rsidR="00274090" w:rsidRDefault="00274090">
      <w:pPr>
        <w:pStyle w:val="NormalWeb"/>
        <w:numPr>
          <w:ilvl w:val="2"/>
          <w:numId w:val="5"/>
        </w:numPr>
      </w:pPr>
      <w:r>
        <w:t xml:space="preserve">progressive </w:t>
      </w:r>
      <w:r>
        <w:rPr>
          <w:b/>
          <w:bCs/>
          <w:i/>
          <w:iCs/>
          <w:color w:val="0000FF"/>
        </w:rPr>
        <w:t>cardiomyopathy</w:t>
      </w:r>
      <w:r>
        <w:t xml:space="preserve"> → cardiac decompensation and respiratory distress.</w:t>
      </w:r>
    </w:p>
    <w:p w:rsidR="00274090" w:rsidRDefault="00274090">
      <w:pPr>
        <w:pStyle w:val="NormalWeb"/>
        <w:numPr>
          <w:ilvl w:val="2"/>
          <w:numId w:val="5"/>
        </w:numPr>
      </w:pPr>
      <w:r>
        <w:t xml:space="preserve">fixed lipid-storage </w:t>
      </w:r>
      <w:r>
        <w:rPr>
          <w:b/>
          <w:bCs/>
          <w:i/>
          <w:iCs/>
          <w:color w:val="0000FF"/>
        </w:rPr>
        <w:t>myopathy</w:t>
      </w:r>
      <w:r>
        <w:t>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788"/>
      </w:pPr>
      <w:r>
        <w:t>Diagnosis</w:t>
      </w:r>
    </w:p>
    <w:p w:rsidR="00274090" w:rsidRDefault="00274090">
      <w:pPr>
        <w:pStyle w:val="NormalWeb"/>
      </w:pPr>
      <w:r>
        <w:t xml:space="preserve">- measuring </w:t>
      </w:r>
      <w:r>
        <w:rPr>
          <w:b/>
          <w:bCs/>
          <w:i/>
          <w:iCs/>
        </w:rPr>
        <w:t>carnitine uptake</w:t>
      </w:r>
      <w:r>
        <w:t xml:space="preserve"> by fibroblasts and leukocytes (&lt; 10% of control rates).</w:t>
      </w:r>
    </w:p>
    <w:p w:rsidR="00274090" w:rsidRDefault="00274090">
      <w:pPr>
        <w:pStyle w:val="NormalWeb"/>
        <w:numPr>
          <w:ilvl w:val="0"/>
          <w:numId w:val="10"/>
        </w:numPr>
      </w:pPr>
      <w:r>
        <w:t>very low plasma [carnitine].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646"/>
      </w:pPr>
      <w:r>
        <w:t>Treatment</w:t>
      </w:r>
    </w:p>
    <w:p w:rsidR="00274090" w:rsidRDefault="00274090">
      <w:pPr>
        <w:pStyle w:val="NormalWeb"/>
        <w:numPr>
          <w:ilvl w:val="0"/>
          <w:numId w:val="6"/>
        </w:numPr>
      </w:pPr>
      <w:r>
        <w:rPr>
          <w:b/>
          <w:bCs/>
        </w:rPr>
        <w:t>hypoglycemia</w:t>
      </w:r>
      <w:r>
        <w:t xml:space="preserve">: intravenous </w:t>
      </w:r>
      <w:r>
        <w:rPr>
          <w:i/>
          <w:iCs/>
          <w:color w:val="0000FF"/>
        </w:rPr>
        <w:t>glucose</w:t>
      </w:r>
      <w:r>
        <w:t xml:space="preserve"> + long-term oral </w:t>
      </w:r>
      <w:r>
        <w:rPr>
          <w:i/>
          <w:iCs/>
          <w:color w:val="0000FF"/>
        </w:rPr>
        <w:t>L-carnitine</w:t>
      </w:r>
      <w:r>
        <w:t xml:space="preserve"> 100-120 mg/kg/day.</w:t>
      </w:r>
    </w:p>
    <w:p w:rsidR="00274090" w:rsidRDefault="00274090">
      <w:pPr>
        <w:pStyle w:val="NormalWeb"/>
        <w:numPr>
          <w:ilvl w:val="0"/>
          <w:numId w:val="6"/>
        </w:numPr>
      </w:pPr>
      <w:r>
        <w:rPr>
          <w:b/>
          <w:bCs/>
        </w:rPr>
        <w:t>cardiomyopathy</w:t>
      </w:r>
      <w:r>
        <w:t xml:space="preserve"> → oral </w:t>
      </w:r>
      <w:r>
        <w:rPr>
          <w:i/>
          <w:iCs/>
          <w:color w:val="0000FF"/>
        </w:rPr>
        <w:t>L-carnitine</w:t>
      </w:r>
      <w:r>
        <w:t xml:space="preserve"> in higher doses (up to 175 mg/kg/day).</w:t>
      </w:r>
    </w:p>
    <w:p w:rsidR="00274090" w:rsidRDefault="00274090"/>
    <w:p w:rsidR="00274090" w:rsidRDefault="00274090"/>
    <w:p w:rsidR="00274090" w:rsidRDefault="00274090">
      <w:pPr>
        <w:pStyle w:val="Nervous5"/>
        <w:ind w:right="3685"/>
      </w:pPr>
      <w:bookmarkStart w:id="3" w:name="_Toc119917360"/>
      <w:r>
        <w:t>Primary Muscle Carnitine Deficiency</w:t>
      </w:r>
      <w:bookmarkEnd w:id="3"/>
    </w:p>
    <w:p w:rsidR="00274090" w:rsidRDefault="00274090">
      <w:pPr>
        <w:pStyle w:val="NormalWeb"/>
        <w:numPr>
          <w:ilvl w:val="0"/>
          <w:numId w:val="7"/>
        </w:numPr>
      </w:pPr>
      <w:r>
        <w:t>diminished muscle uptake of carnitine.</w:t>
      </w:r>
    </w:p>
    <w:p w:rsidR="00274090" w:rsidRDefault="00274090">
      <w:pPr>
        <w:pStyle w:val="NormalWeb"/>
        <w:numPr>
          <w:ilvl w:val="0"/>
          <w:numId w:val="7"/>
        </w:numPr>
      </w:pPr>
      <w:r>
        <w:t xml:space="preserve">presents in childhood – </w:t>
      </w:r>
      <w:r>
        <w:rPr>
          <w:szCs w:val="20"/>
        </w:rPr>
        <w:t xml:space="preserve">progressive*, painless </w:t>
      </w:r>
      <w:r>
        <w:rPr>
          <w:b/>
          <w:bCs/>
          <w:i/>
          <w:iCs/>
          <w:color w:val="0000FF"/>
        </w:rPr>
        <w:t>limb-girdle myopathy</w:t>
      </w:r>
      <w:r>
        <w:t xml:space="preserve"> (fixed lipid-storage myopathy).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*may end in death</w:t>
      </w:r>
    </w:p>
    <w:p w:rsidR="00274090" w:rsidRDefault="00274090">
      <w:pPr>
        <w:pStyle w:val="NormalWeb"/>
        <w:numPr>
          <w:ilvl w:val="0"/>
          <w:numId w:val="7"/>
        </w:numPr>
      </w:pPr>
      <w:r>
        <w:t>normal serum [carnitine]; serum CK↑.</w:t>
      </w:r>
    </w:p>
    <w:p w:rsidR="00274090" w:rsidRDefault="00274090">
      <w:pPr>
        <w:pStyle w:val="NormalWeb"/>
        <w:numPr>
          <w:ilvl w:val="0"/>
          <w:numId w:val="7"/>
        </w:numPr>
      </w:pPr>
      <w:r>
        <w:t>[carnitine]↓ in muscle biopsy tissue.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646"/>
      </w:pPr>
      <w:r>
        <w:t>Treatment</w:t>
      </w:r>
    </w:p>
    <w:p w:rsidR="00274090" w:rsidRDefault="00274090">
      <w:pPr>
        <w:pStyle w:val="NormalWeb"/>
        <w:numPr>
          <w:ilvl w:val="0"/>
          <w:numId w:val="7"/>
        </w:numPr>
      </w:pPr>
      <w:r>
        <w:rPr>
          <w:i/>
          <w:iCs/>
          <w:color w:val="0000FF"/>
        </w:rPr>
        <w:t>carnitine</w:t>
      </w:r>
      <w:r>
        <w:t xml:space="preserve"> replacement in large doses has inconsistent benefit.</w:t>
      </w:r>
    </w:p>
    <w:p w:rsidR="00274090" w:rsidRDefault="00274090">
      <w:pPr>
        <w:pStyle w:val="NormalWeb"/>
        <w:numPr>
          <w:ilvl w:val="0"/>
          <w:numId w:val="7"/>
        </w:numPr>
      </w:pPr>
      <w:r>
        <w:t>s</w:t>
      </w:r>
      <w:r>
        <w:rPr>
          <w:szCs w:val="20"/>
        </w:rPr>
        <w:t xml:space="preserve">ome patients respond to </w:t>
      </w:r>
      <w:r>
        <w:rPr>
          <w:i/>
          <w:iCs/>
          <w:color w:val="0000FF"/>
        </w:rPr>
        <w:t>diet substituting</w:t>
      </w:r>
      <w:r>
        <w:rPr>
          <w:szCs w:val="20"/>
        </w:rPr>
        <w:t xml:space="preserve"> medium-chain for long-chain triglycerides, </w:t>
      </w:r>
      <w:r>
        <w:rPr>
          <w:i/>
          <w:iCs/>
          <w:color w:val="0000FF"/>
        </w:rPr>
        <w:t>riboflavin</w:t>
      </w:r>
      <w:r>
        <w:rPr>
          <w:szCs w:val="20"/>
        </w:rPr>
        <w:t xml:space="preserve">, </w:t>
      </w:r>
      <w:r w:rsidRPr="00D10FBC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>
        <w:rPr>
          <w:szCs w:val="20"/>
        </w:rPr>
        <w:t xml:space="preserve">, </w:t>
      </w:r>
      <w:r w:rsidRPr="00D10FBC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propranolol</w:t>
      </w:r>
      <w:r>
        <w:rPr>
          <w:szCs w:val="20"/>
        </w:rPr>
        <w:t>.</w:t>
      </w:r>
    </w:p>
    <w:p w:rsidR="00274090" w:rsidRDefault="00274090">
      <w:pPr>
        <w:pStyle w:val="NormalWeb"/>
      </w:pPr>
    </w:p>
    <w:p w:rsidR="00274090" w:rsidRDefault="00274090">
      <w:pPr>
        <w:pStyle w:val="NormalWeb"/>
      </w:pPr>
    </w:p>
    <w:p w:rsidR="00274090" w:rsidRDefault="00274090">
      <w:pPr>
        <w:pStyle w:val="Nervous5"/>
        <w:ind w:right="4535"/>
      </w:pPr>
      <w:bookmarkStart w:id="4" w:name="_Toc119917361"/>
      <w:r>
        <w:t>Secondary Carnitine Deficiency</w:t>
      </w:r>
      <w:bookmarkEnd w:id="4"/>
    </w:p>
    <w:p w:rsidR="00274090" w:rsidRDefault="00274090">
      <w:pPr>
        <w:pStyle w:val="Nervous6"/>
        <w:ind w:right="8788"/>
      </w:pPr>
      <w:r>
        <w:t>Etiology</w:t>
      </w:r>
    </w:p>
    <w:p w:rsidR="00274090" w:rsidRDefault="00274090">
      <w:pPr>
        <w:pStyle w:val="NormalWeb"/>
        <w:numPr>
          <w:ilvl w:val="0"/>
          <w:numId w:val="3"/>
        </w:numPr>
      </w:pPr>
      <w:r>
        <w:t xml:space="preserve">enzymatic </w:t>
      </w:r>
      <w:r>
        <w:rPr>
          <w:b/>
          <w:bCs/>
        </w:rPr>
        <w:t>β-oxidation defects</w:t>
      </w:r>
      <w:r>
        <w:t xml:space="preserve"> (e.g. acyl-CoA dehydrogenase deficiencies*)</w:t>
      </w:r>
    </w:p>
    <w:p w:rsidR="00274090" w:rsidRDefault="00274090">
      <w:pPr>
        <w:pStyle w:val="NormalWeb"/>
        <w:jc w:val="right"/>
      </w:pPr>
      <w:r>
        <w:t xml:space="preserve">* most commonly </w:t>
      </w:r>
      <w:r>
        <w:rPr>
          <w:i/>
          <w:iCs/>
        </w:rPr>
        <w:t>medium-chain acyl-CoA dehydrogenase</w:t>
      </w:r>
      <w:r>
        <w:t xml:space="preserve"> deficiency (see below)</w:t>
      </w:r>
    </w:p>
    <w:p w:rsidR="00274090" w:rsidRDefault="00274090">
      <w:pPr>
        <w:pStyle w:val="NormalWeb"/>
        <w:numPr>
          <w:ilvl w:val="0"/>
          <w:numId w:val="3"/>
        </w:numPr>
      </w:pPr>
      <w:r>
        <w:rPr>
          <w:b/>
          <w:bCs/>
        </w:rPr>
        <w:t>mitochondrial</w:t>
      </w:r>
      <w:r>
        <w:t xml:space="preserve"> </w:t>
      </w:r>
      <w:r>
        <w:rPr>
          <w:b/>
          <w:bCs/>
        </w:rPr>
        <w:t>dysfunction</w:t>
      </w:r>
    </w:p>
    <w:p w:rsidR="00274090" w:rsidRDefault="00274090">
      <w:pPr>
        <w:pStyle w:val="NormalWeb"/>
        <w:numPr>
          <w:ilvl w:val="0"/>
          <w:numId w:val="3"/>
        </w:numPr>
      </w:pPr>
      <w:r>
        <w:rPr>
          <w:b/>
          <w:bCs/>
          <w:szCs w:val="20"/>
        </w:rPr>
        <w:t>insufficient intake</w:t>
      </w:r>
      <w:r>
        <w:rPr>
          <w:szCs w:val="20"/>
        </w:rPr>
        <w:t xml:space="preserve"> (parenteral nutrition)</w:t>
      </w:r>
    </w:p>
    <w:p w:rsidR="00274090" w:rsidRDefault="00274090">
      <w:pPr>
        <w:pStyle w:val="NormalWeb"/>
        <w:numPr>
          <w:ilvl w:val="0"/>
          <w:numId w:val="3"/>
        </w:numPr>
      </w:pPr>
      <w:r>
        <w:rPr>
          <w:b/>
          <w:bCs/>
          <w:szCs w:val="20"/>
        </w:rPr>
        <w:t>decreased synthesis</w:t>
      </w:r>
      <w:r>
        <w:rPr>
          <w:szCs w:val="20"/>
        </w:rPr>
        <w:t xml:space="preserve"> (cirrhosis)</w:t>
      </w:r>
    </w:p>
    <w:p w:rsidR="00274090" w:rsidRDefault="00274090">
      <w:pPr>
        <w:pStyle w:val="NormalWeb"/>
        <w:numPr>
          <w:ilvl w:val="0"/>
          <w:numId w:val="3"/>
        </w:numPr>
      </w:pPr>
      <w:r>
        <w:rPr>
          <w:b/>
          <w:bCs/>
        </w:rPr>
        <w:t>excessive loss</w:t>
      </w:r>
      <w:r>
        <w:t xml:space="preserve"> (renal disease, dialysis, </w:t>
      </w:r>
      <w:r>
        <w:rPr>
          <w:szCs w:val="20"/>
        </w:rPr>
        <w:t>Fanconi's syndrome, organic acidemia,</w:t>
      </w:r>
      <w:r>
        <w:t xml:space="preserve"> diarrhea)</w:t>
      </w:r>
    </w:p>
    <w:p w:rsidR="00274090" w:rsidRDefault="00274090">
      <w:pPr>
        <w:pStyle w:val="NormalWeb"/>
        <w:numPr>
          <w:ilvl w:val="0"/>
          <w:numId w:val="3"/>
        </w:numPr>
      </w:pPr>
      <w:r>
        <w:t xml:space="preserve">impaired metabolism of </w:t>
      </w:r>
      <w:r>
        <w:rPr>
          <w:b/>
          <w:bCs/>
        </w:rPr>
        <w:t>valproic acid</w:t>
      </w:r>
      <w:r>
        <w:t xml:space="preserve"> (formed valproylcarnitine is lost in urine).</w:t>
      </w:r>
    </w:p>
    <w:p w:rsidR="00274090" w:rsidRDefault="00274090">
      <w:pPr>
        <w:pStyle w:val="NormalWeb"/>
      </w:pPr>
    </w:p>
    <w:p w:rsidR="00274090" w:rsidRDefault="00274090">
      <w:pPr>
        <w:pStyle w:val="NormalWeb"/>
        <w:numPr>
          <w:ilvl w:val="1"/>
          <w:numId w:val="3"/>
        </w:numPr>
      </w:pPr>
      <w:r>
        <w:t>accumulating acyl-CoA molecules are converted to medium and long-chain acylcarnitines, which  induce defect in tissue uptake of free carnitine.</w:t>
      </w:r>
    </w:p>
    <w:p w:rsidR="00274090" w:rsidRDefault="00274090">
      <w:pPr>
        <w:pStyle w:val="NormalWeb"/>
        <w:numPr>
          <w:ilvl w:val="1"/>
          <w:numId w:val="3"/>
        </w:numPr>
      </w:pPr>
      <w:r>
        <w:rPr>
          <w:i/>
          <w:iCs/>
        </w:rPr>
        <w:t>acylcarnitines</w:t>
      </w:r>
      <w:r>
        <w:t xml:space="preserve"> are more readily excreted in urine → negative carnitine balance.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7795"/>
      </w:pPr>
      <w:r>
        <w:t>Clinical Features</w:t>
      </w:r>
    </w:p>
    <w:p w:rsidR="00274090" w:rsidRDefault="00274090">
      <w:pPr>
        <w:pStyle w:val="NormalWeb"/>
        <w:numPr>
          <w:ilvl w:val="0"/>
          <w:numId w:val="8"/>
        </w:numPr>
      </w:pPr>
      <w:r>
        <w:t xml:space="preserve">most present in infancy or early childhood with </w:t>
      </w:r>
      <w:r>
        <w:rPr>
          <w:b/>
          <w:bCs/>
          <w:i/>
          <w:iCs/>
          <w:color w:val="0000FF"/>
        </w:rPr>
        <w:t>Reye's syndrome-like episodes</w:t>
      </w:r>
      <w:r>
        <w:t>.</w:t>
      </w:r>
    </w:p>
    <w:p w:rsidR="00274090" w:rsidRDefault="00274090">
      <w:pPr>
        <w:pStyle w:val="NormalWeb"/>
        <w:numPr>
          <w:ilvl w:val="0"/>
          <w:numId w:val="8"/>
        </w:numPr>
      </w:pPr>
      <w:r>
        <w:t xml:space="preserve">some surviving adults experience </w:t>
      </w:r>
      <w:r>
        <w:rPr>
          <w:b/>
          <w:bCs/>
          <w:i/>
          <w:iCs/>
          <w:color w:val="0000FF"/>
        </w:rPr>
        <w:t>fixed lipid storage myopathy</w:t>
      </w:r>
      <w:r>
        <w:t>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788"/>
      </w:pPr>
      <w:r>
        <w:t>Diagnosis</w:t>
      </w:r>
    </w:p>
    <w:p w:rsidR="00274090" w:rsidRDefault="00274090">
      <w:pPr>
        <w:pStyle w:val="NormalWeb"/>
        <w:numPr>
          <w:ilvl w:val="0"/>
          <w:numId w:val="9"/>
        </w:numPr>
      </w:pPr>
      <w:r>
        <w:t>muscle biopsy - lipid storage.</w:t>
      </w:r>
    </w:p>
    <w:p w:rsidR="00274090" w:rsidRDefault="00274090">
      <w:pPr>
        <w:pStyle w:val="NormalWeb"/>
        <w:numPr>
          <w:ilvl w:val="0"/>
          <w:numId w:val="9"/>
        </w:numPr>
      </w:pPr>
      <w:r>
        <w:t>[carnitine]↓, but [esterified carnitine] may be ↑ (esp. after oral supplementation of depleted carnitine stores).</w:t>
      </w:r>
    </w:p>
    <w:p w:rsidR="00274090" w:rsidRDefault="00274090">
      <w:pPr>
        <w:pStyle w:val="NormalWeb"/>
        <w:numPr>
          <w:ilvl w:val="0"/>
          <w:numId w:val="9"/>
        </w:numPr>
      </w:pPr>
      <w:r>
        <w:rPr>
          <w:u w:val="single" w:color="FF0000"/>
        </w:rPr>
        <w:t>urinary acylcarnitines↑</w:t>
      </w:r>
      <w:r>
        <w:t xml:space="preserve"> - critical differentiation from primary carnitine deficiency!</w:t>
      </w:r>
    </w:p>
    <w:p w:rsidR="00274090" w:rsidRDefault="00274090">
      <w:pPr>
        <w:pStyle w:val="NormalWeb"/>
        <w:numPr>
          <w:ilvl w:val="1"/>
          <w:numId w:val="9"/>
        </w:numPr>
      </w:pPr>
      <w:r>
        <w:t>different metabolic blocks in fatty acid metabolism lead to excretion of distinct urinary acylcarnitines - identify specific enzyme deficiencies.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646"/>
      </w:pPr>
      <w:r>
        <w:t>Treatment</w:t>
      </w:r>
    </w:p>
    <w:p w:rsidR="00274090" w:rsidRDefault="00274090">
      <w:pPr>
        <w:pStyle w:val="NormalWeb"/>
        <w:numPr>
          <w:ilvl w:val="0"/>
          <w:numId w:val="11"/>
        </w:numPr>
      </w:pPr>
      <w:r>
        <w:rPr>
          <w:i/>
          <w:iCs/>
          <w:color w:val="0000FF"/>
        </w:rPr>
        <w:t>carnitine</w:t>
      </w:r>
      <w:r>
        <w:t xml:space="preserve"> supplementation produces variable results.</w:t>
      </w:r>
    </w:p>
    <w:p w:rsidR="00274090" w:rsidRDefault="00274090">
      <w:pPr>
        <w:pStyle w:val="NormalWeb"/>
        <w:numPr>
          <w:ilvl w:val="0"/>
          <w:numId w:val="11"/>
        </w:numPr>
      </w:pPr>
      <w:r>
        <w:t xml:space="preserve">some cases of multiple </w:t>
      </w:r>
      <w:r>
        <w:rPr>
          <w:b/>
          <w:bCs/>
          <w:i/>
          <w:iCs/>
        </w:rPr>
        <w:t>flavin-dependent dehydrogenase</w:t>
      </w:r>
      <w:r>
        <w:t xml:space="preserve"> deficiency respond to </w:t>
      </w:r>
      <w:r>
        <w:rPr>
          <w:i/>
          <w:iCs/>
          <w:color w:val="0000FF"/>
        </w:rPr>
        <w:t>riboflavin</w:t>
      </w:r>
      <w:r>
        <w:t>.</w:t>
      </w:r>
    </w:p>
    <w:p w:rsidR="00274090" w:rsidRDefault="00274090"/>
    <w:p w:rsidR="00274090" w:rsidRDefault="00274090"/>
    <w:p w:rsidR="00274090" w:rsidRDefault="00274090">
      <w:pPr>
        <w:pStyle w:val="Nervous1"/>
        <w:rPr>
          <w:caps w:val="0"/>
        </w:rPr>
      </w:pPr>
      <w:bookmarkStart w:id="5" w:name="_Toc119917362"/>
      <w:r>
        <w:rPr>
          <w:caps w:val="0"/>
        </w:rPr>
        <w:t>Medium-Chain Acyl-CoA Dehydrogenase Deficiency</w:t>
      </w:r>
      <w:bookmarkEnd w:id="5"/>
    </w:p>
    <w:p w:rsidR="00274090" w:rsidRDefault="00274090">
      <w:pPr>
        <w:pStyle w:val="NormalWeb"/>
      </w:pPr>
      <w:r>
        <w:t>- most common mitochondrial β-oxidation disorder (frequency 1 in 10,000-20,000).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7795"/>
      </w:pPr>
      <w:r>
        <w:t>Clinical Features</w:t>
      </w:r>
    </w:p>
    <w:p w:rsidR="00274090" w:rsidRDefault="00274090">
      <w:pPr>
        <w:pStyle w:val="NormalWeb"/>
      </w:pPr>
      <w:r>
        <w:t>Phenotypical heterogeneity (present at age 3-15 months, rarely after 4 years):</w:t>
      </w:r>
    </w:p>
    <w:p w:rsidR="00274090" w:rsidRDefault="00274090">
      <w:pPr>
        <w:pStyle w:val="NormalWeb"/>
        <w:numPr>
          <w:ilvl w:val="0"/>
          <w:numId w:val="12"/>
        </w:numPr>
        <w:rPr>
          <w:b/>
          <w:bCs/>
          <w:color w:val="0000FF"/>
        </w:rPr>
      </w:pPr>
      <w:r>
        <w:rPr>
          <w:b/>
          <w:bCs/>
          <w:color w:val="0000FF"/>
        </w:rPr>
        <w:t>sudden infant death syndrome</w:t>
      </w:r>
    </w:p>
    <w:p w:rsidR="00274090" w:rsidRDefault="00274090">
      <w:pPr>
        <w:pStyle w:val="NormalWeb"/>
        <w:ind w:left="1440"/>
      </w:pPr>
      <w:r>
        <w:t>Risk of death with first episode ≈ 20%</w:t>
      </w:r>
    </w:p>
    <w:p w:rsidR="00274090" w:rsidRDefault="00274090">
      <w:pPr>
        <w:pStyle w:val="NormalWeb"/>
        <w:ind w:left="1440"/>
      </w:pPr>
      <w:r>
        <w:t>Previous unexplained sibling deaths should raise MCADD as possible diagnosis!</w:t>
      </w:r>
    </w:p>
    <w:p w:rsidR="00274090" w:rsidRDefault="00274090">
      <w:pPr>
        <w:pStyle w:val="NormalWeb"/>
        <w:numPr>
          <w:ilvl w:val="0"/>
          <w:numId w:val="12"/>
        </w:numPr>
      </w:pPr>
      <w:r>
        <w:t xml:space="preserve">recurrent </w:t>
      </w:r>
      <w:r>
        <w:rPr>
          <w:b/>
          <w:bCs/>
          <w:color w:val="0000FF"/>
        </w:rPr>
        <w:t>Reye's-like syndrome</w:t>
      </w:r>
      <w:r>
        <w:t xml:space="preserve"> (after fasting, prior viral respiratory or GI infection)</w:t>
      </w:r>
    </w:p>
    <w:p w:rsidR="00274090" w:rsidRDefault="00274090">
      <w:pPr>
        <w:pStyle w:val="NormalWeb"/>
        <w:numPr>
          <w:ilvl w:val="0"/>
          <w:numId w:val="12"/>
        </w:numPr>
      </w:pPr>
      <w:r>
        <w:t xml:space="preserve">episodic </w:t>
      </w:r>
      <w:r>
        <w:rPr>
          <w:b/>
          <w:bCs/>
          <w:color w:val="0000FF"/>
        </w:rPr>
        <w:t>nonketotic hypoglycemic coma</w:t>
      </w:r>
      <w:r>
        <w:t xml:space="preserve"> with hyperammonemia, abnormal liver function tests.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788"/>
      </w:pPr>
      <w:r>
        <w:t>Diagnosis</w:t>
      </w:r>
    </w:p>
    <w:p w:rsidR="00274090" w:rsidRDefault="00274090">
      <w:pPr>
        <w:pStyle w:val="NormalWeb"/>
        <w:numPr>
          <w:ilvl w:val="0"/>
          <w:numId w:val="13"/>
        </w:numPr>
      </w:pPr>
      <w:r>
        <w:t>serum [carnitine]↓</w:t>
      </w:r>
    </w:p>
    <w:p w:rsidR="00274090" w:rsidRDefault="00274090">
      <w:pPr>
        <w:pStyle w:val="NormalWeb"/>
        <w:numPr>
          <w:ilvl w:val="0"/>
          <w:numId w:val="13"/>
        </w:numPr>
      </w:pPr>
      <w:r>
        <w:rPr>
          <w:u w:val="single" w:color="FF0000"/>
        </w:rPr>
        <w:t>urine [acylcarnitines]↑</w:t>
      </w:r>
      <w:r>
        <w:t xml:space="preserve"> with specific profile; also useful for </w:t>
      </w:r>
      <w:r>
        <w:rPr>
          <w:i/>
          <w:iCs/>
        </w:rPr>
        <w:t>screening of siblings</w:t>
      </w:r>
      <w:r>
        <w:t>.</w:t>
      </w:r>
    </w:p>
    <w:p w:rsidR="00274090" w:rsidRDefault="00274090">
      <w:pPr>
        <w:pStyle w:val="NormalWeb"/>
        <w:numPr>
          <w:ilvl w:val="0"/>
          <w:numId w:val="13"/>
        </w:numPr>
      </w:pPr>
      <w:r>
        <w:rPr>
          <w:b/>
          <w:bCs/>
        </w:rPr>
        <w:t>enzyme assay</w:t>
      </w:r>
      <w:r>
        <w:t xml:space="preserve"> on cultured skin fibroblasts, muscle, liver, lymphocytes.</w:t>
      </w:r>
    </w:p>
    <w:p w:rsidR="00274090" w:rsidRDefault="00274090">
      <w:pPr>
        <w:pStyle w:val="NormalWeb"/>
        <w:numPr>
          <w:ilvl w:val="0"/>
          <w:numId w:val="13"/>
        </w:numPr>
      </w:pPr>
      <w:r>
        <w:rPr>
          <w:b/>
          <w:bCs/>
        </w:rPr>
        <w:t>liver biopsy</w:t>
      </w:r>
      <w:r>
        <w:t>:</w:t>
      </w:r>
    </w:p>
    <w:p w:rsidR="00274090" w:rsidRDefault="00274090">
      <w:pPr>
        <w:pStyle w:val="NormalWeb"/>
        <w:numPr>
          <w:ilvl w:val="0"/>
          <w:numId w:val="14"/>
        </w:numPr>
      </w:pPr>
      <w:r>
        <w:t>liver steatosis, which disappears on recovery.</w:t>
      </w:r>
    </w:p>
    <w:p w:rsidR="00274090" w:rsidRDefault="00274090">
      <w:pPr>
        <w:pStyle w:val="NormalWeb"/>
        <w:numPr>
          <w:ilvl w:val="0"/>
          <w:numId w:val="14"/>
        </w:numPr>
      </w:pPr>
      <w:r>
        <w:t>hepatic mitochondria show increased matrix density and intracristal widening, giving condensed appearance (vs. Reye's syndrome - matrix swelling and rarefaction).</w:t>
      </w:r>
    </w:p>
    <w:p w:rsidR="00274090" w:rsidRDefault="00274090">
      <w:pPr>
        <w:pStyle w:val="NormalWeb"/>
      </w:pPr>
    </w:p>
    <w:p w:rsidR="00274090" w:rsidRDefault="00274090">
      <w:pPr>
        <w:pStyle w:val="Nervous6"/>
        <w:ind w:right="8646"/>
      </w:pPr>
      <w:r>
        <w:t>Treatment</w:t>
      </w:r>
    </w:p>
    <w:p w:rsidR="00274090" w:rsidRDefault="00274090">
      <w:pPr>
        <w:pStyle w:val="NormalWeb"/>
        <w:numPr>
          <w:ilvl w:val="0"/>
          <w:numId w:val="15"/>
        </w:numPr>
      </w:pPr>
      <w:r>
        <w:t xml:space="preserve">10% </w:t>
      </w:r>
      <w:r>
        <w:rPr>
          <w:smallCaps/>
        </w:rPr>
        <w:t>dextrose</w:t>
      </w:r>
      <w:r>
        <w:t xml:space="preserve"> i/v.</w:t>
      </w:r>
    </w:p>
    <w:p w:rsidR="00274090" w:rsidRDefault="00274090">
      <w:pPr>
        <w:pStyle w:val="NormalWeb"/>
        <w:numPr>
          <w:ilvl w:val="0"/>
          <w:numId w:val="15"/>
        </w:numPr>
      </w:pPr>
      <w:r>
        <w:rPr>
          <w:b/>
          <w:bCs/>
          <w:color w:val="FF0000"/>
        </w:rPr>
        <w:t>avoid fasting</w:t>
      </w:r>
      <w:r>
        <w:t xml:space="preserve"> (frequent short feeds).</w:t>
      </w:r>
    </w:p>
    <w:p w:rsidR="00274090" w:rsidRDefault="00274090">
      <w:pPr>
        <w:pStyle w:val="NormalWeb"/>
        <w:numPr>
          <w:ilvl w:val="0"/>
          <w:numId w:val="15"/>
        </w:numPr>
      </w:pPr>
      <w:r>
        <w:rPr>
          <w:i/>
          <w:iCs/>
          <w:color w:val="0000FF"/>
          <w:szCs w:val="15"/>
        </w:rPr>
        <w:t>L</w:t>
      </w:r>
      <w:r>
        <w:rPr>
          <w:i/>
          <w:iCs/>
          <w:color w:val="0000FF"/>
        </w:rPr>
        <w:t>-carnitine</w:t>
      </w:r>
      <w:r>
        <w:t xml:space="preserve"> 100 mg/kg/day orally.</w:t>
      </w:r>
    </w:p>
    <w:p w:rsidR="00274090" w:rsidRDefault="00274090">
      <w:pPr>
        <w:pStyle w:val="NormalWeb"/>
      </w:pPr>
    </w:p>
    <w:p w:rsidR="00274090" w:rsidRDefault="00274090"/>
    <w:p w:rsidR="00274090" w:rsidRDefault="00274090">
      <w:pPr>
        <w:pStyle w:val="Nervous1"/>
        <w:rPr>
          <w:caps w:val="0"/>
        </w:rPr>
      </w:pPr>
      <w:bookmarkStart w:id="6" w:name="_Toc119917363"/>
      <w:r>
        <w:rPr>
          <w:caps w:val="0"/>
        </w:rPr>
        <w:t>Carnitine Palmitoyl Transferase Deficiency</w:t>
      </w:r>
      <w:bookmarkEnd w:id="6"/>
    </w:p>
    <w:p w:rsidR="00274090" w:rsidRDefault="00274090">
      <w:pPr>
        <w:pStyle w:val="Nervous5"/>
        <w:ind w:right="7228"/>
      </w:pPr>
      <w:r>
        <w:t>CPT II deficiency</w:t>
      </w:r>
    </w:p>
    <w:p w:rsidR="00274090" w:rsidRDefault="00274090">
      <w:pPr>
        <w:pStyle w:val="NormalWeb"/>
      </w:pPr>
      <w:r>
        <w:t>- long-chain acylcarnitines cannot be converted to acyl-CoAs.</w:t>
      </w:r>
    </w:p>
    <w:p w:rsidR="00274090" w:rsidRDefault="00274090">
      <w:pPr>
        <w:pStyle w:val="NormalWeb"/>
        <w:numPr>
          <w:ilvl w:val="0"/>
          <w:numId w:val="16"/>
        </w:numPr>
      </w:pPr>
      <w:r>
        <w:t>acylcarnitines accumulate in mitochondrial matrix and are transported out into plasma → may produce cardiac arrhythmias.</w:t>
      </w:r>
    </w:p>
    <w:p w:rsidR="00274090" w:rsidRDefault="00274090">
      <w:pPr>
        <w:pStyle w:val="NormalWeb"/>
        <w:numPr>
          <w:ilvl w:val="0"/>
          <w:numId w:val="16"/>
        </w:numPr>
      </w:pPr>
      <w:r>
        <w:t>plasma and tissue [carnitine]↓, long-chain acylcarnitines↑.</w:t>
      </w:r>
    </w:p>
    <w:p w:rsidR="00274090" w:rsidRDefault="00274090">
      <w:pPr>
        <w:pStyle w:val="NormalWeb"/>
        <w:numPr>
          <w:ilvl w:val="0"/>
          <w:numId w:val="16"/>
        </w:numPr>
      </w:pPr>
      <w:r>
        <w:t>dicarboxylicaciduria is absent (see carnitine transport defect).</w:t>
      </w:r>
    </w:p>
    <w:p w:rsidR="00274090" w:rsidRDefault="00274090">
      <w:pPr>
        <w:pStyle w:val="NormalWeb"/>
      </w:pPr>
    </w:p>
    <w:p w:rsidR="00274090" w:rsidRDefault="00274090">
      <w:pPr>
        <w:pStyle w:val="NormalWeb"/>
        <w:spacing w:after="120"/>
        <w:rPr>
          <w:u w:val="double"/>
        </w:rPr>
      </w:pPr>
      <w:r>
        <w:rPr>
          <w:u w:val="double"/>
        </w:rPr>
        <w:t>Two presentations:</w:t>
      </w:r>
    </w:p>
    <w:p w:rsidR="00274090" w:rsidRDefault="00274090">
      <w:pPr>
        <w:pStyle w:val="NormalWeb"/>
        <w:numPr>
          <w:ilvl w:val="0"/>
          <w:numId w:val="17"/>
        </w:numPr>
      </w:pPr>
      <w:r>
        <w:t>more common</w:t>
      </w:r>
      <w:r>
        <w:rPr>
          <w:b/>
          <w:bCs/>
          <w:smallCaps/>
          <w:color w:val="800080"/>
        </w:rPr>
        <w:t xml:space="preserve"> adult form</w:t>
      </w:r>
      <w:r>
        <w:t xml:space="preserve"> – </w:t>
      </w:r>
      <w:r>
        <w:rPr>
          <w:b/>
          <w:bCs/>
          <w:smallCaps/>
          <w:color w:val="0000FF"/>
        </w:rPr>
        <w:t>dynamic</w:t>
      </w:r>
      <w:r>
        <w:rPr>
          <w:b/>
          <w:bCs/>
          <w:color w:val="0000FF"/>
        </w:rPr>
        <w:t xml:space="preserve"> myopathy</w:t>
      </w:r>
      <w:r>
        <w:t xml:space="preserve"> with myoglobinuria* (</w:t>
      </w:r>
      <w:r>
        <w:rPr>
          <w:szCs w:val="20"/>
        </w:rPr>
        <w:t>most common cause of recurrent myoglobinuria; more common than glycogenoses!)</w:t>
      </w:r>
    </w:p>
    <w:p w:rsidR="00274090" w:rsidRDefault="00274090">
      <w:pPr>
        <w:pStyle w:val="NormalWeb"/>
        <w:jc w:val="right"/>
      </w:pPr>
      <w:r>
        <w:rPr>
          <w:szCs w:val="20"/>
        </w:rPr>
        <w:t xml:space="preserve">*vs. carnitine deficiency – </w:t>
      </w:r>
      <w:r>
        <w:rPr>
          <w:smallCaps/>
          <w:szCs w:val="20"/>
        </w:rPr>
        <w:t>static</w:t>
      </w:r>
      <w:r>
        <w:rPr>
          <w:szCs w:val="20"/>
        </w:rPr>
        <w:t xml:space="preserve"> myopathy</w:t>
      </w:r>
    </w:p>
    <w:p w:rsidR="00274090" w:rsidRDefault="00274090">
      <w:pPr>
        <w:pStyle w:val="NormalWeb"/>
        <w:numPr>
          <w:ilvl w:val="1"/>
          <w:numId w:val="17"/>
        </w:numPr>
      </w:pPr>
      <w:r>
        <w:t>autosomal recessive (1p32).</w:t>
      </w:r>
    </w:p>
    <w:p w:rsidR="00274090" w:rsidRDefault="00274090">
      <w:pPr>
        <w:pStyle w:val="NormalWeb"/>
        <w:numPr>
          <w:ilvl w:val="1"/>
          <w:numId w:val="17"/>
        </w:numPr>
      </w:pPr>
      <w:r>
        <w:t>affects males at age 15-30 years.</w:t>
      </w:r>
    </w:p>
    <w:p w:rsidR="00274090" w:rsidRDefault="00274090">
      <w:pPr>
        <w:pStyle w:val="NormalWeb"/>
        <w:numPr>
          <w:ilvl w:val="1"/>
          <w:numId w:val="17"/>
        </w:numPr>
      </w:pPr>
      <w:r>
        <w:t>triggering factors (increase muscle dependence on free fatty acids) - prolonged exercise, cold, infections, fasting.</w:t>
      </w:r>
    </w:p>
    <w:p w:rsidR="00274090" w:rsidRDefault="00274090">
      <w:pPr>
        <w:pStyle w:val="NormalWeb"/>
        <w:ind w:left="2160"/>
      </w:pPr>
      <w:r>
        <w:t>N.B. patients tolerate brief, intense exercise (vs. glycogenoses)</w:t>
      </w:r>
    </w:p>
    <w:p w:rsidR="00274090" w:rsidRDefault="00274090">
      <w:pPr>
        <w:pStyle w:val="NormalWeb"/>
        <w:numPr>
          <w:ilvl w:val="1"/>
          <w:numId w:val="17"/>
        </w:numPr>
      </w:pPr>
      <w:r>
        <w:t>long-term muscle weakness is rare, although lipid storage may be seen.</w:t>
      </w:r>
    </w:p>
    <w:p w:rsidR="00274090" w:rsidRDefault="00274090">
      <w:pPr>
        <w:pStyle w:val="NormalWeb"/>
        <w:numPr>
          <w:ilvl w:val="1"/>
          <w:numId w:val="17"/>
        </w:numPr>
      </w:pPr>
      <w:r>
        <w:t>25% patients develop renal failure secondary to episodic myoglobinuria.</w:t>
      </w:r>
    </w:p>
    <w:p w:rsidR="00274090" w:rsidRDefault="00274090">
      <w:pPr>
        <w:pStyle w:val="NormalWeb"/>
        <w:numPr>
          <w:ilvl w:val="1"/>
          <w:numId w:val="17"/>
        </w:numPr>
      </w:pPr>
      <w:r>
        <w:rPr>
          <w:u w:val="single"/>
        </w:rPr>
        <w:t>diagnosis</w:t>
      </w:r>
      <w:r>
        <w:t xml:space="preserve"> - </w:t>
      </w:r>
      <w:r>
        <w:rPr>
          <w:b/>
          <w:bCs/>
          <w:i/>
          <w:iCs/>
        </w:rPr>
        <w:t>CPT activity assay in muscle</w:t>
      </w:r>
      <w:r>
        <w:t>; muscle biopsy – normal (except after rhabdomyolysis episode).</w:t>
      </w:r>
    </w:p>
    <w:p w:rsidR="00274090" w:rsidRDefault="00274090">
      <w:pPr>
        <w:pStyle w:val="NormalWeb"/>
        <w:numPr>
          <w:ilvl w:val="1"/>
          <w:numId w:val="17"/>
        </w:numPr>
      </w:pPr>
      <w:r>
        <w:rPr>
          <w:u w:val="single"/>
        </w:rPr>
        <w:t>treatment</w:t>
      </w:r>
      <w:r>
        <w:t xml:space="preserve"> – </w:t>
      </w:r>
      <w:r>
        <w:rPr>
          <w:szCs w:val="20"/>
        </w:rPr>
        <w:t>frequent low-fat, high-carbohydrate meals</w:t>
      </w:r>
      <w:r>
        <w:t>.</w:t>
      </w:r>
    </w:p>
    <w:p w:rsidR="00274090" w:rsidRDefault="00274090">
      <w:pPr>
        <w:pStyle w:val="NormalWeb"/>
      </w:pPr>
    </w:p>
    <w:p w:rsidR="00274090" w:rsidRDefault="00274090">
      <w:pPr>
        <w:pStyle w:val="NormalWeb"/>
        <w:numPr>
          <w:ilvl w:val="0"/>
          <w:numId w:val="17"/>
        </w:numPr>
      </w:pPr>
      <w:r>
        <w:t xml:space="preserve">fatal </w:t>
      </w:r>
      <w:r>
        <w:rPr>
          <w:b/>
          <w:bCs/>
          <w:smallCaps/>
          <w:color w:val="800080"/>
        </w:rPr>
        <w:t>infantile form</w:t>
      </w:r>
    </w:p>
    <w:p w:rsidR="00274090" w:rsidRDefault="00274090">
      <w:pPr>
        <w:pStyle w:val="NormalWeb"/>
        <w:numPr>
          <w:ilvl w:val="1"/>
          <w:numId w:val="18"/>
        </w:numPr>
      </w:pPr>
      <w:r>
        <w:rPr>
          <w:b/>
          <w:bCs/>
          <w:color w:val="0000FF"/>
        </w:rPr>
        <w:t>nonketotic hypoglycemic coma</w:t>
      </w:r>
      <w:r>
        <w:t xml:space="preserve"> without dicarboxylicaciduria</w:t>
      </w:r>
    </w:p>
    <w:p w:rsidR="00274090" w:rsidRDefault="00274090">
      <w:pPr>
        <w:pStyle w:val="NormalWeb"/>
        <w:numPr>
          <w:ilvl w:val="1"/>
          <w:numId w:val="18"/>
        </w:numPr>
      </w:pPr>
      <w:r>
        <w:t>seizures, hepatomegaly, cardiomegaly, cardiac arrhythmia.</w:t>
      </w:r>
    </w:p>
    <w:p w:rsidR="00274090" w:rsidRDefault="00274090">
      <w:pPr>
        <w:pStyle w:val="NormalWeb"/>
      </w:pPr>
    </w:p>
    <w:p w:rsidR="00274090" w:rsidRDefault="00274090"/>
    <w:p w:rsidR="00274090" w:rsidRDefault="00274090">
      <w:pPr>
        <w:pStyle w:val="Nervous5"/>
        <w:ind w:right="7228"/>
      </w:pPr>
      <w:r>
        <w:t>CPT I deficiency</w:t>
      </w:r>
    </w:p>
    <w:p w:rsidR="00274090" w:rsidRDefault="00274090">
      <w:pPr>
        <w:pStyle w:val="NormalWeb"/>
        <w:numPr>
          <w:ilvl w:val="0"/>
          <w:numId w:val="19"/>
        </w:numPr>
      </w:pPr>
      <w:r>
        <w:t xml:space="preserve">infancy / childhood - </w:t>
      </w:r>
      <w:r>
        <w:rPr>
          <w:b/>
          <w:bCs/>
          <w:color w:val="0000FF"/>
        </w:rPr>
        <w:t>Reye-like illness</w:t>
      </w:r>
      <w:r>
        <w:t xml:space="preserve"> with hypoketotic hypoglycemia, encephalopathy, hyperammonemia, and liver dysfunction.</w:t>
      </w:r>
    </w:p>
    <w:sectPr w:rsidR="00274090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90" w:rsidRDefault="00274090">
      <w:r>
        <w:separator/>
      </w:r>
    </w:p>
  </w:endnote>
  <w:endnote w:type="continuationSeparator" w:id="0">
    <w:p w:rsidR="00274090" w:rsidRDefault="0027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90" w:rsidRDefault="00274090">
    <w:pPr>
      <w:pStyle w:val="Footer"/>
      <w:jc w:val="right"/>
    </w:pPr>
    <w:r>
      <w:t>750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0FB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90" w:rsidRDefault="00274090">
      <w:r>
        <w:separator/>
      </w:r>
    </w:p>
  </w:footnote>
  <w:footnote w:type="continuationSeparator" w:id="0">
    <w:p w:rsidR="00274090" w:rsidRDefault="0027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090" w:rsidRDefault="00274090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biochemistry</w:t>
    </w:r>
    <w:r>
      <w:rPr>
        <w:bCs/>
      </w:rPr>
      <w:t xml:space="preserve">    </w:t>
    </w:r>
    <w:r>
      <w:rPr>
        <w:i/>
        <w:iCs/>
      </w:rPr>
      <w:t>Fatty Acid Oxidation Disorders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8F5"/>
    <w:multiLevelType w:val="hybridMultilevel"/>
    <w:tmpl w:val="37D09A0E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BC743A"/>
    <w:multiLevelType w:val="hybridMultilevel"/>
    <w:tmpl w:val="2FC2AB1E"/>
    <w:lvl w:ilvl="0" w:tplc="3EACA31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16A97964"/>
    <w:multiLevelType w:val="hybridMultilevel"/>
    <w:tmpl w:val="0F8A6914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AEA9B9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31C2391A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DA87FDA"/>
    <w:multiLevelType w:val="hybridMultilevel"/>
    <w:tmpl w:val="C68EF20A"/>
    <w:lvl w:ilvl="0" w:tplc="FF5400D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2AEA9B9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1FF8DF8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7445B"/>
    <w:multiLevelType w:val="hybridMultilevel"/>
    <w:tmpl w:val="0F8A6914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AEA9B9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31C2391A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B235CB"/>
    <w:multiLevelType w:val="hybridMultilevel"/>
    <w:tmpl w:val="6D860A30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244C22BD"/>
    <w:multiLevelType w:val="hybridMultilevel"/>
    <w:tmpl w:val="B6E29446"/>
    <w:lvl w:ilvl="0" w:tplc="5DA283B6">
      <w:start w:val="1"/>
      <w:numFmt w:val="lowerLetter"/>
      <w:lvlText w:val="%1)"/>
      <w:lvlJc w:val="left"/>
      <w:pPr>
        <w:tabs>
          <w:tab w:val="num" w:pos="873"/>
        </w:tabs>
        <w:ind w:left="853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3BD82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128D9"/>
    <w:multiLevelType w:val="hybridMultilevel"/>
    <w:tmpl w:val="7C369804"/>
    <w:lvl w:ilvl="0" w:tplc="2AEA9B9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F02CB"/>
    <w:multiLevelType w:val="hybridMultilevel"/>
    <w:tmpl w:val="E62A65AE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2A44"/>
    <w:multiLevelType w:val="hybridMultilevel"/>
    <w:tmpl w:val="6BC022BA"/>
    <w:lvl w:ilvl="0" w:tplc="2AEA9B9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2AEA9B9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1E12"/>
    <w:multiLevelType w:val="hybridMultilevel"/>
    <w:tmpl w:val="7CE01FBA"/>
    <w:lvl w:ilvl="0" w:tplc="F0E8975E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C2221A9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6745B"/>
    <w:multiLevelType w:val="hybridMultilevel"/>
    <w:tmpl w:val="0B1EE85E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0E6F0FC">
      <w:start w:val="1"/>
      <w:numFmt w:val="lowerLetter"/>
      <w:lvlText w:val="%2)"/>
      <w:lvlJc w:val="left"/>
      <w:pPr>
        <w:tabs>
          <w:tab w:val="num" w:pos="873"/>
        </w:tabs>
        <w:ind w:left="853" w:hanging="340"/>
      </w:pPr>
      <w:rPr>
        <w:rFonts w:ascii="Times New Roman" w:hAnsi="Times New Roman" w:hint="default"/>
        <w:b w:val="0"/>
        <w:i w:val="0"/>
        <w:sz w:val="24"/>
      </w:rPr>
    </w:lvl>
    <w:lvl w:ilvl="2" w:tplc="2A963B94">
      <w:start w:val="1"/>
      <w:numFmt w:val="decimal"/>
      <w:lvlText w:val="%3)"/>
      <w:lvlJc w:val="left"/>
      <w:pPr>
        <w:tabs>
          <w:tab w:val="num" w:pos="1593"/>
        </w:tabs>
        <w:ind w:left="1573" w:hanging="340"/>
      </w:pPr>
      <w:rPr>
        <w:rFonts w:hint="default"/>
        <w:b w:val="0"/>
        <w:i w:val="0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92F44A6"/>
    <w:multiLevelType w:val="hybridMultilevel"/>
    <w:tmpl w:val="AD201014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9A850D1"/>
    <w:multiLevelType w:val="hybridMultilevel"/>
    <w:tmpl w:val="B6E29446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BD8231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4" w15:restartNumberingAfterBreak="0">
    <w:nsid w:val="5DAD7DBB"/>
    <w:multiLevelType w:val="hybridMultilevel"/>
    <w:tmpl w:val="8254371A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B839F4"/>
    <w:multiLevelType w:val="hybridMultilevel"/>
    <w:tmpl w:val="EB0A6ED6"/>
    <w:lvl w:ilvl="0" w:tplc="0C207CF8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C0E6F0F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6F502CF"/>
    <w:multiLevelType w:val="hybridMultilevel"/>
    <w:tmpl w:val="C762A45C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A963B9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C459B"/>
    <w:multiLevelType w:val="hybridMultilevel"/>
    <w:tmpl w:val="CF16F8A2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76D64E5C"/>
    <w:multiLevelType w:val="hybridMultilevel"/>
    <w:tmpl w:val="D9484D50"/>
    <w:lvl w:ilvl="0" w:tplc="2A963B9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5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9"/>
    <w:rsid w:val="001454EF"/>
    <w:rsid w:val="00274090"/>
    <w:rsid w:val="009A1D89"/>
    <w:rsid w:val="00D1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2633BA-738A-4696-A075-5488218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E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1454E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454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1454E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1454EF"/>
  </w:style>
  <w:style w:type="paragraph" w:styleId="Header">
    <w:name w:val="header"/>
    <w:basedOn w:val="Normal"/>
    <w:rsid w:val="00145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54E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454E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1454EF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1454E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454E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454EF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454EF"/>
    <w:rPr>
      <w:b/>
      <w:caps/>
      <w:sz w:val="28"/>
      <w:u w:val="double"/>
    </w:rPr>
  </w:style>
  <w:style w:type="character" w:styleId="Hyperlink">
    <w:name w:val="Hyperlink"/>
    <w:basedOn w:val="DefaultParagraphFont"/>
    <w:rsid w:val="001454EF"/>
    <w:rPr>
      <w:color w:val="808080"/>
      <w:u w:val="none"/>
    </w:rPr>
  </w:style>
  <w:style w:type="paragraph" w:customStyle="1" w:styleId="Nervous4">
    <w:name w:val="Nervous 4"/>
    <w:basedOn w:val="Normal"/>
    <w:rsid w:val="001454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454E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1454EF"/>
    <w:pPr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1454E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1454EF"/>
    <w:rPr>
      <w:szCs w:val="24"/>
    </w:rPr>
  </w:style>
  <w:style w:type="paragraph" w:customStyle="1" w:styleId="Nervous6">
    <w:name w:val="Nervous 6"/>
    <w:basedOn w:val="Normal"/>
    <w:rsid w:val="001454E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1454E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1454EF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1454E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1454EF"/>
    <w:rPr>
      <w:color w:val="808080"/>
      <w:u w:val="none"/>
    </w:rPr>
  </w:style>
  <w:style w:type="paragraph" w:customStyle="1" w:styleId="Nervous9">
    <w:name w:val="Nervous 9"/>
    <w:basedOn w:val="Normal"/>
    <w:autoRedefine/>
    <w:rsid w:val="001454EF"/>
    <w:rPr>
      <w:szCs w:val="24"/>
      <w:u w:val="doub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4</Pages>
  <Words>921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7646</CharactersWithSpaces>
  <SharedDoc>false</SharedDoc>
  <HLinks>
    <vt:vector size="36" baseType="variant"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_Toc119917363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_Toc119917362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_Toc119917361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_Toc119917360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_Toc119917359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_Toc119917358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2016-04-04T16:42:00Z</dcterms:created>
  <dcterms:modified xsi:type="dcterms:W3CDTF">2016-04-04T16:42:00Z</dcterms:modified>
</cp:coreProperties>
</file>