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D0727E">
      <w:pPr>
        <w:pStyle w:val="Title"/>
        <w:spacing w:after="120"/>
      </w:pPr>
      <w:bookmarkStart w:id="0" w:name="_GoBack"/>
      <w:bookmarkEnd w:id="0"/>
      <w:r>
        <w:t>Neurology of Heavy Metal Poisoning</w:t>
      </w:r>
    </w:p>
    <w:p w:rsidR="00000000" w:rsidRDefault="00D0727E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:rsidR="00000000" w:rsidRDefault="00D0727E">
      <w:pPr>
        <w:pStyle w:val="Nervous1"/>
        <w:rPr>
          <w:lang w:val="en-US"/>
        </w:rPr>
      </w:pPr>
      <w:r>
        <w:rPr>
          <w:lang w:val="en-US"/>
        </w:rPr>
        <w:t>Lead</w:t>
      </w:r>
    </w:p>
    <w:p w:rsidR="00000000" w:rsidRDefault="00D0727E">
      <w:pPr>
        <w:pStyle w:val="Nervous6"/>
        <w:ind w:right="7937"/>
        <w:jc w:val="center"/>
      </w:pPr>
      <w:r>
        <w:t>Lead neuropathy</w:t>
      </w:r>
    </w:p>
    <w:p w:rsidR="00000000" w:rsidRDefault="00D0727E" w:rsidP="00D0727E">
      <w:pPr>
        <w:pStyle w:val="NormalWeb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occurs almost exclusively in </w:t>
      </w:r>
      <w:r>
        <w:rPr>
          <w:b/>
          <w:bCs/>
          <w:lang w:val="en-US"/>
        </w:rPr>
        <w:t>adults</w:t>
      </w:r>
      <w:r>
        <w:rPr>
          <w:lang w:val="en-US"/>
        </w:rPr>
        <w:t xml:space="preserve">* – </w:t>
      </w:r>
      <w:r>
        <w:rPr>
          <w:b/>
          <w:bCs/>
          <w:i/>
          <w:iCs/>
          <w:color w:val="FF0000"/>
          <w:lang w:val="en-US"/>
        </w:rPr>
        <w:t>axon loss</w:t>
      </w:r>
      <w:r>
        <w:rPr>
          <w:lang w:val="en-US"/>
        </w:rPr>
        <w:t xml:space="preserve"> neuropathy.</w:t>
      </w:r>
    </w:p>
    <w:p w:rsidR="00000000" w:rsidRDefault="00D0727E">
      <w:pPr>
        <w:pStyle w:val="NormalWeb"/>
        <w:jc w:val="right"/>
        <w:rPr>
          <w:lang w:val="en-US"/>
        </w:rPr>
      </w:pPr>
      <w:r>
        <w:rPr>
          <w:lang w:val="en-US"/>
        </w:rPr>
        <w:t xml:space="preserve">*infants develop encephalopathy ± </w:t>
      </w:r>
      <w:r>
        <w:rPr>
          <w:i/>
          <w:iCs/>
          <w:color w:val="FF0000"/>
          <w:lang w:val="en-US"/>
        </w:rPr>
        <w:t>demyelinating</w:t>
      </w:r>
      <w:r>
        <w:rPr>
          <w:lang w:val="en-US"/>
        </w:rPr>
        <w:t xml:space="preserve"> neuropathy.</w:t>
      </w:r>
    </w:p>
    <w:p w:rsidR="00000000" w:rsidRDefault="00D0727E" w:rsidP="00D0727E">
      <w:pPr>
        <w:pStyle w:val="NormalWeb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bilateral </w:t>
      </w:r>
      <w:r>
        <w:rPr>
          <w:highlight w:val="yellow"/>
          <w:lang w:val="en-US"/>
        </w:rPr>
        <w:t>motor mononeuritis multiplex</w:t>
      </w:r>
      <w:r>
        <w:rPr>
          <w:lang w:val="en-US"/>
        </w:rPr>
        <w:t>:</w:t>
      </w:r>
    </w:p>
    <w:p w:rsidR="00000000" w:rsidRDefault="00D0727E" w:rsidP="00D0727E">
      <w:pPr>
        <w:pStyle w:val="NormalWeb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affects </w:t>
      </w:r>
      <w:r>
        <w:rPr>
          <w:b/>
          <w:bCs/>
          <w:color w:val="FF0000"/>
          <w:lang w:val="en-US"/>
        </w:rPr>
        <w:t>upper extremities</w:t>
      </w:r>
      <w:r>
        <w:rPr>
          <w:lang w:val="en-US"/>
        </w:rPr>
        <w:t xml:space="preserve"> first, esp. </w:t>
      </w:r>
      <w:r>
        <w:rPr>
          <w:color w:val="FF0000"/>
          <w:lang w:val="en-US"/>
        </w:rPr>
        <w:t>radial nerve</w:t>
      </w:r>
      <w:r>
        <w:rPr>
          <w:lang w:val="en-US"/>
        </w:rPr>
        <w:t xml:space="preserve"> - focal weakness of extensor muscles of fingers and wrist (</w:t>
      </w:r>
      <w:r w:rsidRPr="00D0727E">
        <w:rPr>
          <w:smallCaps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wristdrop</w:t>
      </w:r>
      <w:r>
        <w:rPr>
          <w:lang w:val="en-US"/>
        </w:rPr>
        <w:t>!!!!!), sparing brachioradialis.</w:t>
      </w:r>
    </w:p>
    <w:p w:rsidR="00000000" w:rsidRDefault="00D0727E" w:rsidP="00D0727E">
      <w:pPr>
        <w:pStyle w:val="NormalWeb"/>
        <w:numPr>
          <w:ilvl w:val="1"/>
          <w:numId w:val="1"/>
        </w:numPr>
        <w:rPr>
          <w:lang w:val="en-US"/>
        </w:rPr>
      </w:pPr>
      <w:r>
        <w:rPr>
          <w:lang w:val="en-US"/>
        </w:rPr>
        <w:t>later weakness may extend to arms (n. medianus) and occasionally to legs (n. peroneus communis).</w:t>
      </w:r>
    </w:p>
    <w:p w:rsidR="00000000" w:rsidRDefault="00D0727E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3969"/>
        <w:rPr>
          <w:lang w:val="en-US"/>
        </w:rPr>
      </w:pPr>
      <w:r>
        <w:rPr>
          <w:b/>
          <w:bCs/>
          <w:i/>
          <w:iCs/>
          <w:color w:val="008000"/>
          <w:lang w:val="en-US"/>
        </w:rPr>
        <w:t>Sensory symptoms &amp; signs</w:t>
      </w:r>
      <w:r>
        <w:rPr>
          <w:lang w:val="en-US"/>
        </w:rPr>
        <w:t xml:space="preserve"> are usually absent.</w:t>
      </w:r>
    </w:p>
    <w:p w:rsidR="00000000" w:rsidRDefault="00D0727E" w:rsidP="00D0727E">
      <w:pPr>
        <w:pStyle w:val="NormalWeb"/>
        <w:numPr>
          <w:ilvl w:val="0"/>
          <w:numId w:val="1"/>
        </w:numPr>
        <w:rPr>
          <w:lang w:val="en-US"/>
        </w:rPr>
      </w:pPr>
      <w:r>
        <w:rPr>
          <w:b/>
          <w:bCs/>
          <w:color w:val="0000FF"/>
          <w:lang w:val="en-US"/>
        </w:rPr>
        <w:t>CSF protein</w:t>
      </w:r>
      <w:r>
        <w:rPr>
          <w:lang w:val="en-US"/>
        </w:rPr>
        <w:t xml:space="preserve"> - slight elevation.</w:t>
      </w:r>
    </w:p>
    <w:p w:rsidR="00000000" w:rsidRDefault="00D0727E" w:rsidP="00D0727E">
      <w:pPr>
        <w:pStyle w:val="NormalWeb"/>
        <w:numPr>
          <w:ilvl w:val="0"/>
          <w:numId w:val="1"/>
        </w:numPr>
        <w:rPr>
          <w:lang w:val="en-US"/>
        </w:rPr>
      </w:pPr>
      <w:r>
        <w:rPr>
          <w:b/>
          <w:bCs/>
          <w:color w:val="0000FF"/>
          <w:lang w:val="en-US"/>
        </w:rPr>
        <w:t>nerve conduction velocities</w:t>
      </w:r>
      <w:r>
        <w:rPr>
          <w:lang w:val="en-US"/>
        </w:rPr>
        <w:t xml:space="preserve"> – normal (LMN disorder rather than neuropathy?).</w:t>
      </w:r>
    </w:p>
    <w:p w:rsidR="00000000" w:rsidRDefault="00D0727E" w:rsidP="00D0727E">
      <w:pPr>
        <w:pStyle w:val="NormalWeb"/>
        <w:numPr>
          <w:ilvl w:val="0"/>
          <w:numId w:val="1"/>
        </w:numPr>
        <w:rPr>
          <w:lang w:val="en-US"/>
        </w:rPr>
      </w:pPr>
      <w:r>
        <w:rPr>
          <w:lang w:val="en-US"/>
        </w:rPr>
        <w:t>when lead exposure ceases, recovery is gradual (over several months).</w:t>
      </w:r>
    </w:p>
    <w:p w:rsidR="00000000" w:rsidRDefault="00D0727E">
      <w:pPr>
        <w:rPr>
          <w:lang w:val="en-US"/>
        </w:rPr>
      </w:pPr>
    </w:p>
    <w:p w:rsidR="00000000" w:rsidRDefault="00D0727E">
      <w:pPr>
        <w:rPr>
          <w:lang w:val="en-US"/>
        </w:rPr>
      </w:pPr>
    </w:p>
    <w:p w:rsidR="00000000" w:rsidRDefault="00D0727E">
      <w:pPr>
        <w:pStyle w:val="Nervous1"/>
      </w:pPr>
      <w:bookmarkStart w:id="1" w:name="_Toc137358903"/>
      <w:r>
        <w:t>Mercury</w:t>
      </w:r>
      <w:bookmarkEnd w:id="1"/>
    </w:p>
    <w:p w:rsidR="00000000" w:rsidRDefault="00D0727E">
      <w:pPr>
        <w:pStyle w:val="NormalWeb"/>
        <w:rPr>
          <w:lang w:val="en-US"/>
        </w:rPr>
      </w:pPr>
      <w:r>
        <w:rPr>
          <w:u w:val="single"/>
          <w:lang w:val="en-US"/>
        </w:rPr>
        <w:t>Two forms of mercury</w:t>
      </w:r>
      <w:r>
        <w:rPr>
          <w:lang w:val="en-US"/>
        </w:rPr>
        <w:t>:</w:t>
      </w:r>
    </w:p>
    <w:p w:rsidR="00000000" w:rsidRDefault="00D0727E" w:rsidP="00D0727E">
      <w:pPr>
        <w:pStyle w:val="NormalWeb"/>
        <w:numPr>
          <w:ilvl w:val="0"/>
          <w:numId w:val="2"/>
        </w:numPr>
        <w:rPr>
          <w:lang w:val="en-US"/>
        </w:rPr>
      </w:pPr>
      <w:r>
        <w:rPr>
          <w:b/>
          <w:bCs/>
          <w:smallCaps/>
          <w:lang w:val="en-US"/>
        </w:rPr>
        <w:t>Organic</w:t>
      </w:r>
      <w:r>
        <w:rPr>
          <w:lang w:val="en-US"/>
        </w:rPr>
        <w:t xml:space="preserve"> mercury (methyl- and ethyl-mercury) -</w:t>
      </w:r>
      <w:r>
        <w:rPr>
          <w:lang w:val="en-US"/>
        </w:rPr>
        <w:t xml:space="preserve"> most toxic to CNS; dorsal root ganglion degeneration </w:t>
      </w:r>
      <w:r>
        <w:rPr>
          <w:lang w:val="en-US"/>
        </w:rPr>
        <w:t xml:space="preserve">→ prominent distal </w:t>
      </w:r>
      <w:r>
        <w:rPr>
          <w:highlight w:val="yellow"/>
          <w:lang w:val="en-US"/>
        </w:rPr>
        <w:t>paresthesias</w:t>
      </w:r>
      <w:r>
        <w:rPr>
          <w:lang w:val="en-US"/>
        </w:rPr>
        <w:t>; ventral roots are spared.</w:t>
      </w:r>
    </w:p>
    <w:p w:rsidR="00000000" w:rsidRDefault="00D0727E" w:rsidP="00D0727E">
      <w:pPr>
        <w:pStyle w:val="NormalWeb"/>
        <w:numPr>
          <w:ilvl w:val="0"/>
          <w:numId w:val="2"/>
        </w:numPr>
        <w:spacing w:before="120"/>
        <w:ind w:left="357" w:hanging="357"/>
        <w:rPr>
          <w:lang w:val="en-US"/>
        </w:rPr>
      </w:pPr>
      <w:r>
        <w:rPr>
          <w:b/>
          <w:bCs/>
          <w:smallCaps/>
          <w:lang w:val="en-US"/>
        </w:rPr>
        <w:t>Elemental</w:t>
      </w:r>
      <w:r>
        <w:rPr>
          <w:lang w:val="en-US"/>
        </w:rPr>
        <w:t xml:space="preserve"> mercury - prominent </w:t>
      </w:r>
      <w:r>
        <w:rPr>
          <w:highlight w:val="yellow"/>
          <w:lang w:val="en-US"/>
        </w:rPr>
        <w:t>motor</w:t>
      </w:r>
      <w:r>
        <w:rPr>
          <w:lang w:val="en-US"/>
        </w:rPr>
        <w:t xml:space="preserve"> manifestations (weakness and wasting), mild sensory symptoms.</w:t>
      </w:r>
    </w:p>
    <w:p w:rsidR="00000000" w:rsidRDefault="00D0727E">
      <w:pPr>
        <w:rPr>
          <w:lang w:val="en-US"/>
        </w:rPr>
      </w:pPr>
    </w:p>
    <w:p w:rsidR="00000000" w:rsidRDefault="00D0727E">
      <w:pPr>
        <w:rPr>
          <w:lang w:val="en-US"/>
        </w:rPr>
      </w:pPr>
    </w:p>
    <w:p w:rsidR="00000000" w:rsidRDefault="00D0727E">
      <w:pPr>
        <w:pStyle w:val="Nervous1"/>
        <w:rPr>
          <w:lang w:val="en-US"/>
        </w:rPr>
      </w:pPr>
      <w:r>
        <w:rPr>
          <w:lang w:val="en-US"/>
        </w:rPr>
        <w:t>Arsenic</w:t>
      </w:r>
    </w:p>
    <w:p w:rsidR="00000000" w:rsidRDefault="00D0727E">
      <w:pPr>
        <w:rPr>
          <w:lang w:val="en-US"/>
        </w:rPr>
      </w:pPr>
      <w:r>
        <w:rPr>
          <w:smallCaps/>
          <w:color w:val="CCFFCC"/>
          <w:highlight w:val="black"/>
          <w:lang w:val="en-US"/>
        </w:rPr>
        <w:t>Acute exposure</w:t>
      </w:r>
      <w:r>
        <w:rPr>
          <w:lang w:val="en-US"/>
        </w:rPr>
        <w:t xml:space="preserve"> - large dose of arsenic (e.g. 100 mg of arsenous oxide):</w:t>
      </w:r>
    </w:p>
    <w:p w:rsidR="00000000" w:rsidRDefault="00D0727E">
      <w:pPr>
        <w:ind w:left="720"/>
        <w:rPr>
          <w:lang w:val="en-US"/>
        </w:rPr>
      </w:pPr>
      <w:r>
        <w:rPr>
          <w:b/>
          <w:bCs/>
          <w:i/>
          <w:iCs/>
          <w:lang w:val="en-US"/>
        </w:rPr>
        <w:t>in few hours</w:t>
      </w:r>
      <w:r>
        <w:rPr>
          <w:lang w:val="en-US"/>
        </w:rPr>
        <w:t xml:space="preserve"> – he</w:t>
      </w:r>
      <w:r>
        <w:rPr>
          <w:lang w:val="en-US"/>
        </w:rPr>
        <w:t xml:space="preserve">morrhagic </w:t>
      </w:r>
      <w:r>
        <w:rPr>
          <w:i/>
          <w:iCs/>
          <w:color w:val="0000FF"/>
          <w:lang w:val="en-US"/>
        </w:rPr>
        <w:t>gastroenteritis</w:t>
      </w:r>
      <w:r>
        <w:rPr>
          <w:lang w:val="en-US"/>
        </w:rPr>
        <w:t xml:space="preserve"> (vomiting, diarrhea) and circulatory collapse;</w:t>
      </w:r>
    </w:p>
    <w:p w:rsidR="00000000" w:rsidRDefault="00D0727E">
      <w:pPr>
        <w:ind w:left="720"/>
        <w:rPr>
          <w:lang w:val="en-US"/>
        </w:rPr>
      </w:pPr>
      <w:r>
        <w:rPr>
          <w:b/>
          <w:bCs/>
          <w:i/>
          <w:iCs/>
          <w:lang w:val="en-US"/>
        </w:rPr>
        <w:t>in 1-3 days</w:t>
      </w:r>
      <w:r>
        <w:rPr>
          <w:lang w:val="en-US"/>
        </w:rPr>
        <w:t xml:space="preserve"> – serious </w:t>
      </w:r>
      <w:r>
        <w:rPr>
          <w:i/>
          <w:iCs/>
          <w:color w:val="0000FF"/>
          <w:lang w:val="en-US"/>
        </w:rPr>
        <w:t>renal &amp; liver failure</w:t>
      </w:r>
      <w:r>
        <w:rPr>
          <w:lang w:val="en-US"/>
        </w:rPr>
        <w:t>;</w:t>
      </w:r>
    </w:p>
    <w:p w:rsidR="00000000" w:rsidRDefault="00D0727E">
      <w:pPr>
        <w:ind w:left="1276" w:hanging="556"/>
        <w:rPr>
          <w:lang w:val="en-US"/>
        </w:rPr>
      </w:pPr>
      <w:r>
        <w:rPr>
          <w:b/>
          <w:bCs/>
          <w:i/>
          <w:iCs/>
          <w:lang w:val="en-US"/>
        </w:rPr>
        <w:t xml:space="preserve">in 3-8 weeks </w:t>
      </w:r>
      <w:r>
        <w:rPr>
          <w:lang w:val="en-US"/>
        </w:rPr>
        <w:t xml:space="preserve">– painful burning </w:t>
      </w:r>
      <w:r>
        <w:rPr>
          <w:b/>
          <w:bCs/>
          <w:i/>
          <w:iCs/>
          <w:color w:val="FF0000"/>
          <w:lang w:val="en-US"/>
        </w:rPr>
        <w:t>axon loss</w:t>
      </w:r>
      <w:r>
        <w:rPr>
          <w:lang w:val="en-US"/>
        </w:rPr>
        <w:t xml:space="preserve"> </w:t>
      </w:r>
      <w:r>
        <w:rPr>
          <w:i/>
          <w:iCs/>
          <w:color w:val="0000FF"/>
          <w:lang w:val="en-US"/>
        </w:rPr>
        <w:t>polyneuropathy</w:t>
      </w:r>
      <w:r>
        <w:rPr>
          <w:lang w:val="en-US"/>
        </w:rPr>
        <w:t xml:space="preserve"> (worsens over 1-3 weeks → plateau phase → recovery over months).</w:t>
      </w:r>
    </w:p>
    <w:p w:rsidR="00000000" w:rsidRDefault="00D0727E">
      <w:pPr>
        <w:rPr>
          <w:lang w:val="en-US"/>
        </w:rPr>
      </w:pPr>
    </w:p>
    <w:p w:rsidR="00000000" w:rsidRDefault="00D0727E">
      <w:pPr>
        <w:rPr>
          <w:lang w:val="en-US"/>
        </w:rPr>
      </w:pPr>
      <w:r>
        <w:rPr>
          <w:smallCaps/>
          <w:color w:val="CCFFCC"/>
          <w:highlight w:val="black"/>
        </w:rPr>
        <w:t>Chronic exposure</w:t>
      </w:r>
      <w:r>
        <w:rPr>
          <w:lang w:val="en-US"/>
        </w:rPr>
        <w:t xml:space="preserve"> - </w:t>
      </w:r>
      <w:r>
        <w:rPr>
          <w:i/>
          <w:iCs/>
          <w:color w:val="0000FF"/>
          <w:lang w:val="en-US"/>
        </w:rPr>
        <w:t>arsenic neuropathy</w:t>
      </w:r>
      <w:r>
        <w:rPr>
          <w:lang w:val="en-US"/>
        </w:rPr>
        <w:t xml:space="preserve"> (most common of all heavy metal-induced neuropathies!).</w:t>
      </w:r>
    </w:p>
    <w:p w:rsidR="00000000" w:rsidRDefault="00D0727E" w:rsidP="00D0727E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slower evolution than in acute cases.</w:t>
      </w:r>
    </w:p>
    <w:p w:rsidR="00000000" w:rsidRDefault="00D0727E" w:rsidP="00D0727E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prominent </w:t>
      </w:r>
      <w:r>
        <w:rPr>
          <w:highlight w:val="yellow"/>
          <w:lang w:val="en-US"/>
        </w:rPr>
        <w:t>sensory</w:t>
      </w:r>
      <w:r>
        <w:rPr>
          <w:lang w:val="en-US"/>
        </w:rPr>
        <w:t xml:space="preserve"> symptoms (pain and paresthesias, impaired sensation in </w:t>
      </w:r>
      <w:r>
        <w:rPr>
          <w:i/>
          <w:iCs/>
          <w:lang w:val="en-US"/>
        </w:rPr>
        <w:t>stocking-and-glove</w:t>
      </w:r>
      <w:r>
        <w:rPr>
          <w:lang w:val="en-US"/>
        </w:rPr>
        <w:t xml:space="preserve"> distribution) → </w:t>
      </w:r>
      <w:r>
        <w:rPr>
          <w:highlight w:val="yellow"/>
          <w:lang w:val="en-US"/>
        </w:rPr>
        <w:t>areflexia</w:t>
      </w:r>
      <w:r>
        <w:rPr>
          <w:lang w:val="en-US"/>
        </w:rPr>
        <w:t xml:space="preserve">, </w:t>
      </w:r>
      <w:r>
        <w:rPr>
          <w:highlight w:val="yellow"/>
          <w:lang w:val="en-US"/>
        </w:rPr>
        <w:t>weakness</w:t>
      </w:r>
      <w:r>
        <w:rPr>
          <w:lang w:val="en-US"/>
        </w:rPr>
        <w:t xml:space="preserve"> progresses t</w:t>
      </w:r>
      <w:r>
        <w:rPr>
          <w:lang w:val="en-US"/>
        </w:rPr>
        <w:t>o complete flaccid paralysis of legs.</w:t>
      </w:r>
    </w:p>
    <w:p w:rsidR="00000000" w:rsidRDefault="00D0727E" w:rsidP="00D0727E">
      <w:pPr>
        <w:numPr>
          <w:ilvl w:val="0"/>
          <w:numId w:val="3"/>
        </w:numPr>
        <w:rPr>
          <w:lang w:val="en-US"/>
        </w:rPr>
      </w:pPr>
      <w:r>
        <w:rPr>
          <w:lang w:val="en-US"/>
        </w:rPr>
        <w:t>absent GI symptoms.</w:t>
      </w:r>
    </w:p>
    <w:p w:rsidR="00000000" w:rsidRDefault="00D0727E">
      <w:pPr>
        <w:rPr>
          <w:lang w:val="en-US"/>
        </w:rPr>
      </w:pPr>
    </w:p>
    <w:p w:rsidR="00000000" w:rsidRDefault="00D0727E">
      <w:pPr>
        <w:rPr>
          <w:lang w:val="en-US"/>
        </w:rPr>
      </w:pPr>
    </w:p>
    <w:p w:rsidR="00000000" w:rsidRDefault="00D0727E">
      <w:pPr>
        <w:pStyle w:val="Nervous1"/>
        <w:rPr>
          <w:lang w:val="en-US"/>
        </w:rPr>
      </w:pPr>
      <w:r>
        <w:rPr>
          <w:lang w:val="en-US"/>
        </w:rPr>
        <w:t>Thallium</w:t>
      </w:r>
    </w:p>
    <w:p w:rsidR="00000000" w:rsidRDefault="00D0727E" w:rsidP="00D0727E">
      <w:pPr>
        <w:pStyle w:val="NormalWeb"/>
        <w:numPr>
          <w:ilvl w:val="0"/>
          <w:numId w:val="4"/>
        </w:numPr>
        <w:rPr>
          <w:lang w:val="en-US"/>
        </w:rPr>
      </w:pPr>
      <w:r>
        <w:rPr>
          <w:lang w:val="en-US"/>
        </w:rPr>
        <w:t>used as rodenticide.</w:t>
      </w:r>
    </w:p>
    <w:p w:rsidR="00000000" w:rsidRDefault="00D0727E" w:rsidP="00D0727E">
      <w:pPr>
        <w:pStyle w:val="NormalWeb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>children</w:t>
      </w:r>
      <w:r>
        <w:rPr>
          <w:lang w:val="en-US"/>
        </w:rPr>
        <w:t xml:space="preserve"> develop </w:t>
      </w:r>
      <w:r>
        <w:rPr>
          <w:i/>
          <w:iCs/>
          <w:color w:val="0000FF"/>
          <w:lang w:val="en-US"/>
        </w:rPr>
        <w:t>encephalopathy</w:t>
      </w:r>
      <w:r>
        <w:rPr>
          <w:lang w:val="en-US"/>
        </w:rPr>
        <w:t>.</w:t>
      </w:r>
    </w:p>
    <w:p w:rsidR="00000000" w:rsidRDefault="00D0727E" w:rsidP="00D0727E">
      <w:pPr>
        <w:pStyle w:val="NormalWeb"/>
        <w:numPr>
          <w:ilvl w:val="0"/>
          <w:numId w:val="4"/>
        </w:numPr>
        <w:rPr>
          <w:lang w:val="en-US"/>
        </w:rPr>
      </w:pPr>
      <w:r>
        <w:rPr>
          <w:b/>
          <w:bCs/>
          <w:lang w:val="en-US"/>
        </w:rPr>
        <w:t>adults</w:t>
      </w:r>
      <w:r>
        <w:rPr>
          <w:lang w:val="en-US"/>
        </w:rPr>
        <w:t xml:space="preserve"> develop </w:t>
      </w:r>
      <w:r>
        <w:rPr>
          <w:b/>
          <w:bCs/>
          <w:i/>
          <w:iCs/>
          <w:color w:val="FF0000"/>
          <w:lang w:val="en-US"/>
        </w:rPr>
        <w:t>axon loss</w:t>
      </w:r>
      <w:r>
        <w:rPr>
          <w:lang w:val="en-US"/>
        </w:rPr>
        <w:t xml:space="preserve"> </w:t>
      </w:r>
      <w:r>
        <w:rPr>
          <w:i/>
          <w:iCs/>
          <w:color w:val="0000FF"/>
          <w:lang w:val="en-US"/>
        </w:rPr>
        <w:t>neuropathy</w:t>
      </w:r>
      <w:r>
        <w:rPr>
          <w:lang w:val="en-US"/>
        </w:rPr>
        <w:t>:</w:t>
      </w:r>
    </w:p>
    <w:p w:rsidR="00000000" w:rsidRDefault="00D0727E" w:rsidP="00D0727E">
      <w:pPr>
        <w:pStyle w:val="NormalWeb"/>
        <w:numPr>
          <w:ilvl w:val="1"/>
          <w:numId w:val="4"/>
        </w:numPr>
        <w:rPr>
          <w:lang w:val="en-US"/>
        </w:rPr>
      </w:pPr>
      <w:r>
        <w:rPr>
          <w:lang w:val="en-US"/>
        </w:rPr>
        <w:t xml:space="preserve">primarily </w:t>
      </w:r>
      <w:r>
        <w:rPr>
          <w:highlight w:val="yellow"/>
          <w:lang w:val="en-US"/>
        </w:rPr>
        <w:t>sensory</w:t>
      </w:r>
      <w:r>
        <w:rPr>
          <w:lang w:val="en-US"/>
        </w:rPr>
        <w:t xml:space="preserve"> (severe disturbing dysesthesias) and </w:t>
      </w:r>
      <w:r>
        <w:rPr>
          <w:highlight w:val="yellow"/>
          <w:lang w:val="en-US"/>
        </w:rPr>
        <w:t>autonomic</w:t>
      </w:r>
      <w:r>
        <w:rPr>
          <w:lang w:val="en-US"/>
        </w:rPr>
        <w:t xml:space="preserve"> (tachycardia and hypertension).</w:t>
      </w:r>
    </w:p>
    <w:p w:rsidR="00000000" w:rsidRDefault="00D0727E" w:rsidP="00D0727E">
      <w:pPr>
        <w:pStyle w:val="NormalWeb"/>
        <w:numPr>
          <w:ilvl w:val="0"/>
          <w:numId w:val="4"/>
        </w:numPr>
        <w:rPr>
          <w:lang w:val="en-US"/>
        </w:rPr>
      </w:pPr>
      <w:r>
        <w:rPr>
          <w:i/>
          <w:iCs/>
          <w:color w:val="0000FF"/>
          <w:lang w:val="en-US"/>
        </w:rPr>
        <w:t>alopecia</w:t>
      </w:r>
      <w:r>
        <w:rPr>
          <w:lang w:val="en-US"/>
        </w:rPr>
        <w:t xml:space="preserve">, </w:t>
      </w:r>
      <w:r>
        <w:rPr>
          <w:b/>
          <w:bCs/>
          <w:smallCaps/>
          <w:color w:val="008000"/>
          <w:lang w:val="en-US"/>
        </w:rPr>
        <w:t>Mees</w:t>
      </w:r>
      <w:r>
        <w:rPr>
          <w:b/>
          <w:bCs/>
          <w:color w:val="008000"/>
          <w:lang w:val="en-US"/>
        </w:rPr>
        <w:t xml:space="preserve"> lines</w:t>
      </w:r>
      <w:r>
        <w:rPr>
          <w:lang w:val="en-US"/>
        </w:rPr>
        <w:t xml:space="preserve"> (</w:t>
      </w:r>
      <w:r>
        <w:rPr>
          <w:color w:val="000000"/>
          <w:lang w:val="en-US"/>
        </w:rPr>
        <w:t>horizontal white bands of nails)</w:t>
      </w:r>
      <w:r>
        <w:rPr>
          <w:lang w:val="en-US"/>
        </w:rPr>
        <w:t xml:space="preserve"> as in arsenic poisoning.</w:t>
      </w:r>
    </w:p>
    <w:p w:rsidR="00000000" w:rsidRDefault="00D0727E">
      <w:pPr>
        <w:rPr>
          <w:lang w:val="en-US"/>
        </w:rPr>
      </w:pPr>
    </w:p>
    <w:p w:rsidR="00000000" w:rsidRDefault="00D0727E">
      <w:pPr>
        <w:pStyle w:val="Header"/>
        <w:tabs>
          <w:tab w:val="clear" w:pos="4320"/>
          <w:tab w:val="clear" w:pos="8640"/>
        </w:tabs>
        <w:rPr>
          <w:lang w:val="en-US"/>
        </w:rPr>
      </w:pPr>
    </w:p>
    <w:p w:rsidR="00000000" w:rsidRDefault="00D0727E">
      <w:pPr>
        <w:rPr>
          <w:lang w:val="en-US"/>
        </w:rPr>
      </w:pPr>
    </w:p>
    <w:p w:rsidR="00000000" w:rsidRDefault="00D0727E">
      <w:r>
        <w:rPr>
          <w:i/>
          <w:u w:val="single"/>
        </w:rPr>
        <w:t>Panaudota literatūra</w:t>
      </w:r>
      <w:r>
        <w:rPr>
          <w:iCs/>
        </w:rPr>
        <w:t>: see PN1 p.</w:t>
      </w:r>
    </w:p>
    <w:sectPr w:rsidR="00000000">
      <w:headerReference w:type="default" r:id="rId7"/>
      <w:footerReference w:type="default" r:id="rId8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D0727E">
      <w:r>
        <w:separator/>
      </w:r>
    </w:p>
  </w:endnote>
  <w:endnote w:type="continuationSeparator" w:id="0">
    <w:p w:rsidR="00000000" w:rsidRDefault="00D07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0727E">
    <w:pPr>
      <w:pStyle w:val="Footer"/>
      <w:jc w:val="right"/>
    </w:pPr>
    <w:r>
      <w:t>2777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D0727E">
      <w:r>
        <w:separator/>
      </w:r>
    </w:p>
  </w:footnote>
  <w:footnote w:type="continuationSeparator" w:id="0">
    <w:p w:rsidR="00000000" w:rsidRDefault="00D072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D0727E">
    <w:pPr>
      <w:pStyle w:val="Header"/>
      <w:pBdr>
        <w:bottom w:val="single" w:sz="4" w:space="1" w:color="auto"/>
      </w:pBdr>
      <w:rPr>
        <w:bCs/>
      </w:rPr>
    </w:pPr>
    <w:r>
      <w:rPr>
        <w:b/>
        <w:caps/>
      </w:rPr>
      <w:t>endocrine system</w:t>
    </w:r>
    <w:r>
      <w:rPr>
        <w:bCs/>
      </w:rPr>
      <w:t xml:space="preserve">    </w:t>
    </w:r>
    <w:r>
      <w:rPr>
        <w:i/>
        <w:iCs/>
      </w:rPr>
      <w:t>Neurology of Heavy Metal Poisoning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1A1155"/>
    <w:multiLevelType w:val="hybridMultilevel"/>
    <w:tmpl w:val="A8B470BC"/>
    <w:lvl w:ilvl="0" w:tplc="D6FC18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E8EAF090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617D4E79"/>
    <w:multiLevelType w:val="hybridMultilevel"/>
    <w:tmpl w:val="8952767A"/>
    <w:lvl w:ilvl="0" w:tplc="D6FC18B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000000"/>
        <w:sz w:val="24"/>
      </w:rPr>
    </w:lvl>
    <w:lvl w:ilvl="1" w:tplc="E8EAF090">
      <w:start w:val="1"/>
      <w:numFmt w:val="bullet"/>
      <w:lvlText w:val="–"/>
      <w:lvlJc w:val="left"/>
      <w:pPr>
        <w:tabs>
          <w:tab w:val="num" w:pos="873"/>
        </w:tabs>
        <w:ind w:left="853" w:hanging="340"/>
      </w:pPr>
      <w:rPr>
        <w:rFonts w:ascii="Times New Roman" w:hAnsi="Times New Roman" w:cs="Times New Roman" w:hint="default"/>
        <w:color w:val="000000"/>
      </w:rPr>
    </w:lvl>
    <w:lvl w:ilvl="2" w:tplc="D6FC18B6">
      <w:start w:val="1"/>
      <w:numFmt w:val="bullet"/>
      <w:lvlText w:val=""/>
      <w:lvlJc w:val="left"/>
      <w:pPr>
        <w:tabs>
          <w:tab w:val="num" w:pos="1593"/>
        </w:tabs>
        <w:ind w:left="1573" w:hanging="340"/>
      </w:pPr>
      <w:rPr>
        <w:rFonts w:ascii="Symbol" w:hAnsi="Symbol" w:hint="default"/>
        <w:color w:val="000000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556549D"/>
    <w:multiLevelType w:val="hybridMultilevel"/>
    <w:tmpl w:val="9F18F878"/>
    <w:lvl w:ilvl="0" w:tplc="E8EAF090">
      <w:start w:val="1"/>
      <w:numFmt w:val="bullet"/>
      <w:lvlText w:val="–"/>
      <w:lvlJc w:val="left"/>
      <w:pPr>
        <w:tabs>
          <w:tab w:val="num" w:pos="927"/>
        </w:tabs>
        <w:ind w:left="907" w:hanging="340"/>
      </w:pPr>
      <w:rPr>
        <w:rFonts w:ascii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123BE3"/>
    <w:multiLevelType w:val="hybridMultilevel"/>
    <w:tmpl w:val="575CDF6C"/>
    <w:lvl w:ilvl="0" w:tplc="4C969C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27E"/>
    <w:rsid w:val="00D0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7D92CB18-C7CB-47C0-85D6-CEEAEF1DA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lt-LT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semiHidden/>
    <w:rPr>
      <w:b/>
      <w:smallCaps/>
    </w:rPr>
  </w:style>
  <w:style w:type="paragraph" w:styleId="TOC2">
    <w:name w:val="toc 2"/>
    <w:basedOn w:val="Normal"/>
    <w:next w:val="Normal"/>
    <w:autoRedefine/>
    <w:semiHidden/>
    <w:pPr>
      <w:ind w:left="200"/>
    </w:pPr>
    <w:rPr>
      <w:smallCaps/>
    </w:rPr>
  </w:style>
  <w:style w:type="paragraph" w:customStyle="1" w:styleId="Nervous2">
    <w:name w:val="Nervous 2"/>
    <w:basedOn w:val="Normal"/>
    <w:autoRedefine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character" w:styleId="Hyperlink">
    <w:name w:val="Hyperlink"/>
    <w:basedOn w:val="DefaultParagraphFont"/>
    <w:semiHidden/>
    <w:rPr>
      <w:color w:val="auto"/>
      <w:u w:val="none"/>
    </w:rPr>
  </w:style>
  <w:style w:type="paragraph" w:customStyle="1" w:styleId="Nervous4">
    <w:name w:val="Nervous 4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  <w:lang w:val="en-US"/>
    </w:rPr>
  </w:style>
  <w:style w:type="paragraph" w:customStyle="1" w:styleId="Nervous5">
    <w:name w:val="Nervous 5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  <w:spacing w:before="120" w:after="120"/>
    </w:pPr>
    <w:rPr>
      <w:b/>
      <w:bCs/>
      <w:caps/>
      <w:sz w:val="28"/>
      <w:lang w:val="en-US"/>
    </w:rPr>
  </w:style>
  <w:style w:type="paragraph" w:styleId="BodyTextIndent">
    <w:name w:val="Body Text Indent"/>
    <w:basedOn w:val="Normal"/>
    <w:semiHidden/>
    <w:pPr>
      <w:ind w:left="567" w:hanging="567"/>
    </w:pPr>
    <w:rPr>
      <w:sz w:val="20"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4"/>
      <w:lang w:val="en-US"/>
    </w:rPr>
  </w:style>
  <w:style w:type="character" w:styleId="PageNumber">
    <w:name w:val="page number"/>
    <w:basedOn w:val="DefaultParagraphFont"/>
    <w:semiHidden/>
  </w:style>
  <w:style w:type="paragraph" w:customStyle="1" w:styleId="Drugname">
    <w:name w:val="Drug name"/>
    <w:basedOn w:val="NormalWeb"/>
    <w:autoRedefine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semiHidden/>
    <w:rPr>
      <w:szCs w:val="24"/>
    </w:rPr>
  </w:style>
  <w:style w:type="paragraph" w:customStyle="1" w:styleId="Nervous6">
    <w:name w:val="Nervous 6"/>
    <w:basedOn w:val="NormalWeb"/>
    <w:pPr>
      <w:shd w:val="clear" w:color="auto" w:fill="000000"/>
      <w:ind w:right="7371"/>
    </w:pPr>
    <w:rPr>
      <w:b/>
      <w:bCs/>
      <w:smallCaps/>
      <w:color w:val="CCFFCC"/>
      <w:lang w:val="en-US"/>
    </w:rPr>
  </w:style>
  <w:style w:type="paragraph" w:customStyle="1" w:styleId="Nervous7">
    <w:name w:val="Nervous 7"/>
    <w:basedOn w:val="Normal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rPr>
      <w:b w:val="0"/>
      <w:caps w:val="0"/>
      <w:small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2</Pages>
  <Words>265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2</cp:revision>
  <cp:lastPrinted>1601-01-01T00:00:00Z</cp:lastPrinted>
  <dcterms:created xsi:type="dcterms:W3CDTF">2016-04-04T16:59:00Z</dcterms:created>
  <dcterms:modified xsi:type="dcterms:W3CDTF">2016-04-04T16:59:00Z</dcterms:modified>
</cp:coreProperties>
</file>