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3C" w:rsidRDefault="00ED4D3C" w:rsidP="006501EC">
      <w:pPr>
        <w:pStyle w:val="Title"/>
      </w:pPr>
      <w:bookmarkStart w:id="0" w:name="_GoBack"/>
      <w:bookmarkEnd w:id="0"/>
      <w:r>
        <w:t>Measles Encephalitides</w:t>
      </w:r>
    </w:p>
    <w:p w:rsidR="00463DF7" w:rsidRPr="00A051A9" w:rsidRDefault="00463DF7" w:rsidP="00000F83">
      <w:pPr>
        <w:numPr>
          <w:ilvl w:val="0"/>
          <w:numId w:val="14"/>
        </w:numPr>
      </w:pPr>
      <w:r>
        <w:rPr>
          <w:b/>
          <w:smallCaps/>
          <w:color w:val="0000FF"/>
        </w:rPr>
        <w:t>S</w:t>
      </w:r>
      <w:r w:rsidRPr="00463DF7">
        <w:rPr>
          <w:b/>
          <w:smallCaps/>
          <w:color w:val="0000FF"/>
        </w:rPr>
        <w:t>ubacute measles encephalitis</w:t>
      </w:r>
    </w:p>
    <w:p w:rsidR="00A051A9" w:rsidRDefault="00A051A9" w:rsidP="00A051A9">
      <w:pPr>
        <w:numPr>
          <w:ilvl w:val="0"/>
          <w:numId w:val="16"/>
        </w:numPr>
      </w:pPr>
      <w:r>
        <w:t xml:space="preserve">pathogenesis - </w:t>
      </w:r>
      <w:r w:rsidR="00FA598A" w:rsidRPr="00FA598A">
        <w:rPr>
          <w:highlight w:val="yellow"/>
        </w:rPr>
        <w:t>virus persistence</w:t>
      </w:r>
      <w:r w:rsidR="00FA598A">
        <w:t xml:space="preserve"> </w:t>
      </w:r>
      <w:r w:rsidR="00FA598A" w:rsidRPr="002E183E">
        <w:t xml:space="preserve">in </w:t>
      </w:r>
      <w:r w:rsidR="00FA598A" w:rsidRPr="0063125A">
        <w:rPr>
          <w:i/>
          <w:color w:val="FF0000"/>
        </w:rPr>
        <w:t>immunosuppressed individuals</w:t>
      </w:r>
      <w:r w:rsidR="00724371">
        <w:t xml:space="preserve"> (mostly children).</w:t>
      </w:r>
    </w:p>
    <w:p w:rsidR="00916E4B" w:rsidRDefault="00000F83" w:rsidP="00A051A9">
      <w:pPr>
        <w:numPr>
          <w:ilvl w:val="0"/>
          <w:numId w:val="14"/>
        </w:numPr>
        <w:spacing w:before="120"/>
      </w:pPr>
      <w:r w:rsidRPr="003F0FAF">
        <w:rPr>
          <w:b/>
          <w:smallCaps/>
          <w:color w:val="0000FF"/>
        </w:rPr>
        <w:t>P</w:t>
      </w:r>
      <w:r w:rsidR="00FB7AB4" w:rsidRPr="003F0FAF">
        <w:rPr>
          <w:b/>
          <w:smallCaps/>
          <w:color w:val="0000FF"/>
        </w:rPr>
        <w:t>ost</w:t>
      </w:r>
      <w:r w:rsidR="0028691F">
        <w:rPr>
          <w:b/>
          <w:smallCaps/>
          <w:color w:val="0000FF"/>
        </w:rPr>
        <w:t>measles</w:t>
      </w:r>
      <w:r w:rsidRPr="003F0FAF">
        <w:rPr>
          <w:b/>
          <w:smallCaps/>
          <w:color w:val="0000FF"/>
        </w:rPr>
        <w:t xml:space="preserve"> </w:t>
      </w:r>
      <w:r w:rsidR="003F0FAF" w:rsidRPr="003F0FAF">
        <w:rPr>
          <w:b/>
          <w:smallCaps/>
          <w:color w:val="0000FF"/>
        </w:rPr>
        <w:t>encephalomyelitis</w:t>
      </w:r>
      <w:r w:rsidR="003F0FAF">
        <w:t xml:space="preserve"> </w:t>
      </w:r>
      <w:r>
        <w:t>-</w:t>
      </w:r>
      <w:r w:rsidR="00FB7AB4" w:rsidRPr="00927FC0">
        <w:t xml:space="preserve"> </w:t>
      </w:r>
      <w:r>
        <w:t>incidence</w:t>
      </w:r>
      <w:r w:rsidR="00FB7AB4" w:rsidRPr="00927FC0">
        <w:t xml:space="preserve"> 1 </w:t>
      </w:r>
      <w:r>
        <w:t>: 1000</w:t>
      </w:r>
      <w:r w:rsidR="0063125A">
        <w:t xml:space="preserve"> (</w:t>
      </w:r>
      <w:r w:rsidR="0063125A" w:rsidRPr="002E183E">
        <w:t>mostly older persons)</w:t>
      </w:r>
      <w:r w:rsidR="00916E4B">
        <w:t>.</w:t>
      </w:r>
    </w:p>
    <w:p w:rsidR="00000F83" w:rsidRDefault="00916E4B" w:rsidP="00916E4B">
      <w:pPr>
        <w:numPr>
          <w:ilvl w:val="0"/>
          <w:numId w:val="16"/>
        </w:numPr>
      </w:pPr>
      <w:r>
        <w:t xml:space="preserve">pathogenesis - </w:t>
      </w:r>
      <w:r w:rsidRPr="00FA598A">
        <w:rPr>
          <w:highlight w:val="yellow"/>
        </w:rPr>
        <w:t>autoimmune</w:t>
      </w:r>
      <w:r>
        <w:t>.</w:t>
      </w:r>
    </w:p>
    <w:p w:rsidR="00916E4B" w:rsidRDefault="00000F83" w:rsidP="00A051A9">
      <w:pPr>
        <w:numPr>
          <w:ilvl w:val="0"/>
          <w:numId w:val="14"/>
        </w:numPr>
        <w:spacing w:before="120"/>
      </w:pPr>
      <w:r w:rsidRPr="003F0FAF">
        <w:rPr>
          <w:b/>
          <w:smallCaps/>
          <w:color w:val="0000FF"/>
        </w:rPr>
        <w:t>Subacute sclerosing panencephalitis (</w:t>
      </w:r>
      <w:r w:rsidRPr="003F0FAF">
        <w:rPr>
          <w:b/>
          <w:caps/>
          <w:color w:val="0000FF"/>
        </w:rPr>
        <w:t>sspe</w:t>
      </w:r>
      <w:r w:rsidRPr="003F0FAF">
        <w:rPr>
          <w:b/>
          <w:smallCaps/>
          <w:color w:val="0000FF"/>
        </w:rPr>
        <w:t>)</w:t>
      </w:r>
      <w:r w:rsidRPr="00000F83">
        <w:t xml:space="preserve"> </w:t>
      </w:r>
      <w:r>
        <w:t xml:space="preserve">- incidence </w:t>
      </w:r>
      <w:r w:rsidR="0063125A">
        <w:t>0,5-</w:t>
      </w:r>
      <w:r>
        <w:t>1 : 100,000</w:t>
      </w:r>
      <w:r w:rsidR="0077582E">
        <w:t xml:space="preserve"> (85% are children 5-15 yrs).</w:t>
      </w:r>
    </w:p>
    <w:p w:rsidR="00000F83" w:rsidRDefault="00916E4B" w:rsidP="00916E4B">
      <w:pPr>
        <w:numPr>
          <w:ilvl w:val="0"/>
          <w:numId w:val="16"/>
        </w:numPr>
      </w:pPr>
      <w:r>
        <w:t>pathogenesis -</w:t>
      </w:r>
      <w:r w:rsidR="000F1865">
        <w:t xml:space="preserve"> </w:t>
      </w:r>
      <w:r w:rsidR="000F1865" w:rsidRPr="000F1865">
        <w:rPr>
          <w:i/>
          <w:color w:val="FF0000"/>
        </w:rPr>
        <w:t>defective</w:t>
      </w:r>
      <w:r w:rsidR="00612308">
        <w:t xml:space="preserve"> </w:t>
      </w:r>
      <w:r w:rsidR="000F1865" w:rsidRPr="00FA598A">
        <w:rPr>
          <w:highlight w:val="yellow"/>
        </w:rPr>
        <w:t>virus persistence</w:t>
      </w:r>
      <w:r w:rsidR="0077582E">
        <w:t xml:space="preserve"> (slow-virus infection!)</w:t>
      </w:r>
    </w:p>
    <w:p w:rsidR="00FA598A" w:rsidRDefault="00FA598A" w:rsidP="00ED4D3C"/>
    <w:p w:rsidR="00FA598A" w:rsidRPr="00436893" w:rsidRDefault="00FA598A" w:rsidP="00FA598A">
      <w:pPr>
        <w:pStyle w:val="Antrat"/>
        <w:rPr>
          <w:caps w:val="0"/>
        </w:rPr>
      </w:pPr>
      <w:r w:rsidRPr="00436893">
        <w:rPr>
          <w:caps w:val="0"/>
        </w:rPr>
        <w:t xml:space="preserve">Subacute Measles Encephalitis </w:t>
      </w:r>
      <w:r w:rsidRPr="00436893">
        <w:rPr>
          <w:caps w:val="0"/>
          <w:sz w:val="28"/>
          <w:szCs w:val="28"/>
        </w:rPr>
        <w:t xml:space="preserve">(s. </w:t>
      </w:r>
      <w:r w:rsidR="00724371">
        <w:rPr>
          <w:caps w:val="0"/>
          <w:sz w:val="28"/>
          <w:szCs w:val="28"/>
        </w:rPr>
        <w:t>Measles</w:t>
      </w:r>
      <w:r w:rsidRPr="00436893">
        <w:rPr>
          <w:caps w:val="0"/>
          <w:sz w:val="28"/>
          <w:szCs w:val="28"/>
        </w:rPr>
        <w:t xml:space="preserve"> Inclusion Body Encephal</w:t>
      </w:r>
      <w:r w:rsidR="00724371">
        <w:rPr>
          <w:caps w:val="0"/>
          <w:sz w:val="28"/>
          <w:szCs w:val="28"/>
        </w:rPr>
        <w:t>itis</w:t>
      </w:r>
      <w:r w:rsidRPr="00436893">
        <w:rPr>
          <w:caps w:val="0"/>
          <w:sz w:val="28"/>
          <w:szCs w:val="28"/>
        </w:rPr>
        <w:t>, Progressive Infectious Measles Encephalitis)</w:t>
      </w:r>
    </w:p>
    <w:p w:rsidR="005A0F82" w:rsidRDefault="00FA598A" w:rsidP="005A0F82">
      <w:pPr>
        <w:numPr>
          <w:ilvl w:val="1"/>
          <w:numId w:val="15"/>
        </w:numPr>
      </w:pPr>
      <w:r w:rsidRPr="002E183E">
        <w:t xml:space="preserve">occurs in </w:t>
      </w:r>
      <w:r w:rsidRPr="0063125A">
        <w:rPr>
          <w:i/>
          <w:color w:val="FF0000"/>
        </w:rPr>
        <w:t>immunosuppressed individuals</w:t>
      </w:r>
      <w:r w:rsidRPr="002E183E">
        <w:t xml:space="preserve"> after</w:t>
      </w:r>
      <w:r>
        <w:t xml:space="preserve"> </w:t>
      </w:r>
      <w:r w:rsidRPr="00436893">
        <w:rPr>
          <w:shd w:val="clear" w:color="auto" w:fill="FFCCFF"/>
        </w:rPr>
        <w:t>latent period of 1-10 months</w:t>
      </w:r>
      <w:r>
        <w:t>.</w:t>
      </w:r>
    </w:p>
    <w:p w:rsidR="005A0F82" w:rsidRDefault="005A0F82" w:rsidP="005A0F82">
      <w:pPr>
        <w:numPr>
          <w:ilvl w:val="1"/>
          <w:numId w:val="15"/>
        </w:numPr>
      </w:pPr>
      <w:r w:rsidRPr="00734288">
        <w:rPr>
          <w:u w:val="single"/>
        </w:rPr>
        <w:t>histology</w:t>
      </w:r>
      <w:r w:rsidRPr="002E183E">
        <w:t xml:space="preserve"> </w:t>
      </w:r>
      <w:r>
        <w:t>-</w:t>
      </w:r>
      <w:r w:rsidRPr="002E183E">
        <w:t xml:space="preserve"> intranuclear </w:t>
      </w:r>
      <w:r>
        <w:t>(</w:t>
      </w:r>
      <w:r w:rsidRPr="002E183E">
        <w:t>sometimes intracytoplasmic</w:t>
      </w:r>
      <w:r>
        <w:t>)</w:t>
      </w:r>
      <w:r w:rsidRPr="002E183E">
        <w:t xml:space="preserve"> </w:t>
      </w:r>
      <w:r w:rsidRPr="00A12D6C">
        <w:rPr>
          <w:i/>
          <w:color w:val="993366"/>
        </w:rPr>
        <w:t>eosinophilic inclusion bodies</w:t>
      </w:r>
      <w:r w:rsidRPr="002E183E">
        <w:t xml:space="preserve"> </w:t>
      </w:r>
      <w:r>
        <w:t xml:space="preserve">(with </w:t>
      </w:r>
      <w:r w:rsidRPr="002E183E">
        <w:t>measles virus antigen</w:t>
      </w:r>
      <w:r>
        <w:t>)</w:t>
      </w:r>
      <w:r w:rsidRPr="002E183E">
        <w:t xml:space="preserve"> in neurons and oligodendrocytes</w:t>
      </w:r>
      <w:r w:rsidR="00B03DC4">
        <w:t xml:space="preserve">; </w:t>
      </w:r>
      <w:r w:rsidR="00B03DC4" w:rsidRPr="002E183E">
        <w:rPr>
          <w:szCs w:val="24"/>
        </w:rPr>
        <w:t>minimal perivascular inflammation</w:t>
      </w:r>
      <w:r w:rsidR="00B03DC4">
        <w:rPr>
          <w:szCs w:val="24"/>
        </w:rPr>
        <w:t>.</w:t>
      </w:r>
    </w:p>
    <w:p w:rsidR="003259B6" w:rsidRDefault="003259B6" w:rsidP="003259B6"/>
    <w:p w:rsidR="003259B6" w:rsidRPr="002E183E" w:rsidRDefault="003259B6" w:rsidP="003259B6">
      <w:pPr>
        <w:pStyle w:val="Nervous6"/>
        <w:ind w:right="7795"/>
      </w:pPr>
      <w:r>
        <w:t>Clinical Features</w:t>
      </w:r>
    </w:p>
    <w:p w:rsidR="003259B6" w:rsidRDefault="003259B6" w:rsidP="003259B6">
      <w:pPr>
        <w:numPr>
          <w:ilvl w:val="2"/>
          <w:numId w:val="15"/>
        </w:numPr>
      </w:pPr>
      <w:r>
        <w:t>altered level of consciousness</w:t>
      </w:r>
    </w:p>
    <w:p w:rsidR="003259B6" w:rsidRDefault="003259B6" w:rsidP="003259B6">
      <w:pPr>
        <w:numPr>
          <w:ilvl w:val="2"/>
          <w:numId w:val="15"/>
        </w:numPr>
      </w:pPr>
      <w:r w:rsidRPr="002E183E">
        <w:t>seizure</w:t>
      </w:r>
      <w:r>
        <w:t>s</w:t>
      </w:r>
      <w:r w:rsidRPr="003259B6">
        <w:t xml:space="preserve"> </w:t>
      </w:r>
      <w:r>
        <w:t>(</w:t>
      </w:r>
      <w:r w:rsidRPr="002E183E">
        <w:t>epilepsia partialis continua is</w:t>
      </w:r>
      <w:r>
        <w:t xml:space="preserve"> </w:t>
      </w:r>
      <w:r w:rsidRPr="002E183E">
        <w:t>prominent feature</w:t>
      </w:r>
      <w:r>
        <w:t>)</w:t>
      </w:r>
    </w:p>
    <w:p w:rsidR="003259B6" w:rsidRDefault="003259B6" w:rsidP="003259B6">
      <w:pPr>
        <w:numPr>
          <w:ilvl w:val="2"/>
          <w:numId w:val="15"/>
        </w:numPr>
      </w:pPr>
      <w:r w:rsidRPr="002E183E">
        <w:t>multifocal neurological signs</w:t>
      </w:r>
    </w:p>
    <w:p w:rsidR="00734288" w:rsidRDefault="00734288" w:rsidP="003259B6">
      <w:pPr>
        <w:numPr>
          <w:ilvl w:val="2"/>
          <w:numId w:val="15"/>
        </w:numPr>
      </w:pPr>
      <w:r>
        <w:t>no fever</w:t>
      </w:r>
    </w:p>
    <w:p w:rsidR="005A0F82" w:rsidRDefault="00C028C2" w:rsidP="00C028C2">
      <w:pPr>
        <w:pStyle w:val="NormalWeb"/>
        <w:numPr>
          <w:ilvl w:val="3"/>
          <w:numId w:val="15"/>
        </w:numPr>
      </w:pPr>
      <w:r w:rsidRPr="002E183E">
        <w:t xml:space="preserve">progressive deterioration to coma and death </w:t>
      </w:r>
      <w:r>
        <w:t>(</w:t>
      </w:r>
      <w:r w:rsidRPr="002E183E">
        <w:t xml:space="preserve">in several weeks </w:t>
      </w:r>
      <w:r>
        <w:t xml:space="preserve">÷ </w:t>
      </w:r>
      <w:r w:rsidRPr="002E183E">
        <w:t>5 months</w:t>
      </w:r>
      <w:r>
        <w:t>)</w:t>
      </w:r>
      <w:r w:rsidRPr="002E183E">
        <w:t>.</w:t>
      </w:r>
    </w:p>
    <w:p w:rsidR="00C028C2" w:rsidRDefault="00C028C2" w:rsidP="003259B6"/>
    <w:p w:rsidR="00A12D6C" w:rsidRDefault="00A12D6C" w:rsidP="00857528">
      <w:pPr>
        <w:pStyle w:val="Nervous6"/>
        <w:ind w:right="8362"/>
      </w:pPr>
      <w:r>
        <w:t>Diagnosis</w:t>
      </w:r>
    </w:p>
    <w:p w:rsidR="006242E9" w:rsidRDefault="006242E9" w:rsidP="006242E9">
      <w:pPr>
        <w:pStyle w:val="NormalWeb"/>
        <w:numPr>
          <w:ilvl w:val="3"/>
          <w:numId w:val="15"/>
        </w:numPr>
      </w:pPr>
      <w:r w:rsidRPr="00734288">
        <w:rPr>
          <w:b/>
          <w:color w:val="0000FF"/>
        </w:rPr>
        <w:t>CSF</w:t>
      </w:r>
      <w:r w:rsidRPr="002E183E">
        <w:t xml:space="preserve"> </w:t>
      </w:r>
      <w:r>
        <w:t>– as in viral encephalitis</w:t>
      </w:r>
      <w:r w:rsidR="005C449D">
        <w:t xml:space="preserve">, but </w:t>
      </w:r>
      <w:r w:rsidR="005C449D" w:rsidRPr="002E183E">
        <w:t>inflammation is minimal</w:t>
      </w:r>
      <w:r w:rsidR="005C449D">
        <w:t>*</w:t>
      </w:r>
      <w:r>
        <w:t xml:space="preserve"> (in 1/3 cases CSF is entirely normal); </w:t>
      </w:r>
      <w:r w:rsidR="005C449D" w:rsidRPr="006242E9">
        <w:rPr>
          <w:b/>
          <w:color w:val="0000FF"/>
        </w:rPr>
        <w:t>PCR</w:t>
      </w:r>
      <w:r w:rsidR="005C449D">
        <w:t xml:space="preserve"> may be </w:t>
      </w:r>
      <w:r>
        <w:t>positive.</w:t>
      </w:r>
    </w:p>
    <w:p w:rsidR="006242E9" w:rsidRPr="002E183E" w:rsidRDefault="006242E9" w:rsidP="006242E9">
      <w:pPr>
        <w:pStyle w:val="NormalWeb"/>
        <w:numPr>
          <w:ilvl w:val="3"/>
          <w:numId w:val="15"/>
        </w:numPr>
      </w:pPr>
      <w:r w:rsidRPr="00734288">
        <w:rPr>
          <w:b/>
          <w:color w:val="0000FF"/>
        </w:rPr>
        <w:t>EEG</w:t>
      </w:r>
      <w:r>
        <w:t xml:space="preserve"> -</w:t>
      </w:r>
      <w:r w:rsidRPr="002E183E">
        <w:t xml:space="preserve"> nonspecific </w:t>
      </w:r>
      <w:r>
        <w:t>slowing</w:t>
      </w:r>
      <w:r w:rsidRPr="002E183E">
        <w:t>.</w:t>
      </w:r>
    </w:p>
    <w:p w:rsidR="00734288" w:rsidRDefault="005C449D" w:rsidP="005C449D">
      <w:pPr>
        <w:pStyle w:val="NormalWeb"/>
        <w:jc w:val="right"/>
      </w:pPr>
      <w:r>
        <w:t>*</w:t>
      </w:r>
      <w:r w:rsidR="00A12D6C" w:rsidRPr="002E183E">
        <w:t xml:space="preserve">diagnosis can be confirmed only by </w:t>
      </w:r>
      <w:r w:rsidR="00A12D6C" w:rsidRPr="00734288">
        <w:rPr>
          <w:b/>
          <w:color w:val="0000FF"/>
        </w:rPr>
        <w:t>brain biopsy</w:t>
      </w:r>
      <w:r w:rsidR="00734288">
        <w:t>.</w:t>
      </w:r>
    </w:p>
    <w:p w:rsidR="00FA598A" w:rsidRDefault="00FA598A" w:rsidP="00FA598A"/>
    <w:p w:rsidR="007C557D" w:rsidRDefault="007C557D" w:rsidP="00857528">
      <w:pPr>
        <w:pStyle w:val="Nervous6"/>
        <w:ind w:right="8504"/>
      </w:pPr>
      <w:r>
        <w:t>Treatment</w:t>
      </w:r>
    </w:p>
    <w:p w:rsidR="00916E4B" w:rsidRDefault="007C557D" w:rsidP="007C557D">
      <w:pPr>
        <w:pStyle w:val="NormalWeb"/>
        <w:numPr>
          <w:ilvl w:val="3"/>
          <w:numId w:val="15"/>
        </w:numPr>
      </w:pPr>
      <w:r w:rsidRPr="002E183E">
        <w:t>case reports of</w:t>
      </w:r>
      <w:r>
        <w:t xml:space="preserve"> </w:t>
      </w:r>
      <w:r w:rsidRPr="002E183E">
        <w:t xml:space="preserve">favorable use of </w:t>
      </w:r>
      <w:r w:rsidRPr="007C557D">
        <w:rPr>
          <w:rStyle w:val="Drugname2Char"/>
        </w:rPr>
        <w:t>ribavirin</w:t>
      </w:r>
      <w:r>
        <w:t>.</w:t>
      </w:r>
    </w:p>
    <w:p w:rsidR="007C557D" w:rsidRDefault="007C557D" w:rsidP="00ED4D3C"/>
    <w:p w:rsidR="00266B51" w:rsidRPr="00266B51" w:rsidRDefault="00266B51" w:rsidP="00266B51">
      <w:pPr>
        <w:pStyle w:val="Antrat"/>
        <w:rPr>
          <w:caps w:val="0"/>
        </w:rPr>
      </w:pPr>
      <w:r w:rsidRPr="00266B51">
        <w:rPr>
          <w:caps w:val="0"/>
        </w:rPr>
        <w:t>Post</w:t>
      </w:r>
      <w:r w:rsidR="00916E4B">
        <w:rPr>
          <w:caps w:val="0"/>
        </w:rPr>
        <w:t>measles</w:t>
      </w:r>
      <w:r w:rsidRPr="00266B51">
        <w:rPr>
          <w:caps w:val="0"/>
        </w:rPr>
        <w:t xml:space="preserve"> </w:t>
      </w:r>
      <w:r w:rsidR="00436893">
        <w:rPr>
          <w:caps w:val="0"/>
        </w:rPr>
        <w:t>E</w:t>
      </w:r>
      <w:r w:rsidRPr="00266B51">
        <w:rPr>
          <w:caps w:val="0"/>
        </w:rPr>
        <w:t>ncephalomyelitis</w:t>
      </w:r>
    </w:p>
    <w:p w:rsidR="00916E4B" w:rsidRDefault="00916E4B" w:rsidP="00ED4D3C">
      <w:r>
        <w:t>A</w:t>
      </w:r>
      <w:r w:rsidRPr="00916E4B">
        <w:t>utoimmune</w:t>
      </w:r>
      <w:r w:rsidRPr="002E183E">
        <w:t xml:space="preserve"> </w:t>
      </w:r>
      <w:r>
        <w:t xml:space="preserve">pathogenesis - </w:t>
      </w:r>
      <w:r w:rsidRPr="002E183E">
        <w:t>perivenular demyelinating disease</w:t>
      </w:r>
      <w:r>
        <w:t>.</w:t>
      </w:r>
    </w:p>
    <w:p w:rsidR="00916E4B" w:rsidRDefault="00A051A9" w:rsidP="00A051A9">
      <w:pPr>
        <w:numPr>
          <w:ilvl w:val="0"/>
          <w:numId w:val="19"/>
        </w:numPr>
        <w:rPr>
          <w:shd w:val="clear" w:color="auto" w:fill="FFCCFF"/>
        </w:rPr>
      </w:pPr>
      <w:r>
        <w:t>no</w:t>
      </w:r>
      <w:r w:rsidRPr="002E183E">
        <w:t xml:space="preserve"> virus evidence in</w:t>
      </w:r>
      <w:r>
        <w:t xml:space="preserve"> </w:t>
      </w:r>
      <w:r w:rsidRPr="002E183E">
        <w:t>brain</w:t>
      </w:r>
      <w:r w:rsidR="00734288">
        <w:t xml:space="preserve"> (i.e. no intracellular inclusions).</w:t>
      </w:r>
    </w:p>
    <w:p w:rsidR="00A051A9" w:rsidRDefault="00A051A9" w:rsidP="00ED4D3C">
      <w:pPr>
        <w:rPr>
          <w:shd w:val="clear" w:color="auto" w:fill="FFCCFF"/>
        </w:rPr>
      </w:pPr>
    </w:p>
    <w:p w:rsidR="00266B51" w:rsidRDefault="00266B51" w:rsidP="00ED4D3C">
      <w:r w:rsidRPr="00266B51">
        <w:rPr>
          <w:shd w:val="clear" w:color="auto" w:fill="FFCCFF"/>
        </w:rPr>
        <w:t>During convalescence from measles</w:t>
      </w:r>
      <w:r w:rsidRPr="002E183E">
        <w:t xml:space="preserve"> </w:t>
      </w:r>
      <w:r w:rsidR="005E11FA">
        <w:t xml:space="preserve">(i.e. </w:t>
      </w:r>
      <w:r w:rsidR="005E11FA" w:rsidRPr="002E183E">
        <w:t>within 2 weeks after</w:t>
      </w:r>
      <w:r w:rsidR="005E11FA">
        <w:t xml:space="preserve"> </w:t>
      </w:r>
      <w:r w:rsidR="005E11FA" w:rsidRPr="002E183E">
        <w:t>rash onset</w:t>
      </w:r>
      <w:r w:rsidR="005E11FA">
        <w:t xml:space="preserve">) </w:t>
      </w:r>
      <w:r>
        <w:t xml:space="preserve">- </w:t>
      </w:r>
      <w:r w:rsidRPr="002E183E">
        <w:t>sudden recurrence of fever with</w:t>
      </w:r>
      <w:r>
        <w:t>:</w:t>
      </w:r>
    </w:p>
    <w:p w:rsidR="00266B51" w:rsidRDefault="00266B51" w:rsidP="003259B6">
      <w:pPr>
        <w:numPr>
          <w:ilvl w:val="1"/>
          <w:numId w:val="19"/>
        </w:numPr>
      </w:pPr>
      <w:r>
        <w:t>altered level of consciousness</w:t>
      </w:r>
    </w:p>
    <w:p w:rsidR="00266B51" w:rsidRDefault="00266B51" w:rsidP="003259B6">
      <w:pPr>
        <w:numPr>
          <w:ilvl w:val="1"/>
          <w:numId w:val="19"/>
        </w:numPr>
      </w:pPr>
      <w:r w:rsidRPr="002E183E">
        <w:t>seizure</w:t>
      </w:r>
      <w:r>
        <w:t>s</w:t>
      </w:r>
    </w:p>
    <w:p w:rsidR="00266B51" w:rsidRDefault="00266B51" w:rsidP="003259B6">
      <w:pPr>
        <w:numPr>
          <w:ilvl w:val="1"/>
          <w:numId w:val="19"/>
        </w:numPr>
      </w:pPr>
      <w:r w:rsidRPr="002E183E">
        <w:t>multifocal neurological signs</w:t>
      </w:r>
      <w:r>
        <w:t>.</w:t>
      </w:r>
    </w:p>
    <w:p w:rsidR="00266B51" w:rsidRDefault="00266B51" w:rsidP="00266B51"/>
    <w:p w:rsidR="005E11FA" w:rsidRPr="002E183E" w:rsidRDefault="005E11FA" w:rsidP="005E11FA">
      <w:pPr>
        <w:pStyle w:val="NormalWeb"/>
      </w:pPr>
      <w:r w:rsidRPr="005E11FA">
        <w:rPr>
          <w:smallCaps/>
        </w:rPr>
        <w:t>Mortality</w:t>
      </w:r>
      <w:r w:rsidRPr="002E183E">
        <w:t xml:space="preserve"> </w:t>
      </w:r>
      <w:r>
        <w:t>20</w:t>
      </w:r>
      <w:r w:rsidR="00A12D6C">
        <w:t>-40</w:t>
      </w:r>
      <w:r>
        <w:t xml:space="preserve">%; </w:t>
      </w:r>
      <w:r w:rsidRPr="002E183E">
        <w:t>sequelae are common in survivors</w:t>
      </w:r>
      <w:r>
        <w:t>.</w:t>
      </w:r>
    </w:p>
    <w:p w:rsidR="00436893" w:rsidRDefault="00436893" w:rsidP="00266B51"/>
    <w:p w:rsidR="00A908F0" w:rsidRDefault="009E42B7" w:rsidP="00ED4D3C">
      <w:pPr>
        <w:pStyle w:val="Antrat"/>
      </w:pPr>
      <w:r w:rsidRPr="00ED4D3C">
        <w:rPr>
          <w:caps w:val="0"/>
        </w:rPr>
        <w:lastRenderedPageBreak/>
        <w:t>Subacute Sclerosing Panencephalitis</w:t>
      </w:r>
      <w:r>
        <w:t xml:space="preserve"> (SSPE)</w:t>
      </w:r>
    </w:p>
    <w:p w:rsidR="00A06FC2" w:rsidRPr="00A06FC2" w:rsidRDefault="00A06FC2" w:rsidP="00760A84">
      <w:pPr>
        <w:spacing w:after="120"/>
        <w:ind w:left="2160"/>
        <w:rPr>
          <w:color w:val="000000"/>
          <w:szCs w:val="24"/>
        </w:rPr>
      </w:pPr>
      <w:r w:rsidRPr="00A06FC2">
        <w:rPr>
          <w:color w:val="000000"/>
          <w:szCs w:val="24"/>
        </w:rPr>
        <w:t xml:space="preserve">Synonyms: Dawson's encephalitis, </w:t>
      </w:r>
      <w:r w:rsidR="00760A84" w:rsidRPr="00A06FC2">
        <w:rPr>
          <w:color w:val="000000"/>
          <w:szCs w:val="24"/>
        </w:rPr>
        <w:t xml:space="preserve">subacute </w:t>
      </w:r>
      <w:r w:rsidRPr="00A06FC2">
        <w:rPr>
          <w:color w:val="000000"/>
          <w:szCs w:val="24"/>
        </w:rPr>
        <w:t xml:space="preserve">inclusion body encephalitis, </w:t>
      </w:r>
      <w:r w:rsidR="00760A84" w:rsidRPr="00A06FC2">
        <w:rPr>
          <w:color w:val="000000"/>
          <w:szCs w:val="24"/>
        </w:rPr>
        <w:t xml:space="preserve">subacute </w:t>
      </w:r>
      <w:r w:rsidRPr="00A06FC2">
        <w:rPr>
          <w:color w:val="000000"/>
          <w:szCs w:val="24"/>
        </w:rPr>
        <w:t>sclerosing leukoencephalitis, van Bogaert encephalitis.</w:t>
      </w:r>
    </w:p>
    <w:p w:rsidR="00A908F0" w:rsidRDefault="008529FB" w:rsidP="00857528">
      <w:pPr>
        <w:pStyle w:val="Nervous6"/>
        <w:ind w:right="8504"/>
      </w:pPr>
      <w:r>
        <w:t>Etiology</w:t>
      </w:r>
    </w:p>
    <w:p w:rsidR="008529FB" w:rsidRDefault="0044237D" w:rsidP="008529FB">
      <w:pPr>
        <w:numPr>
          <w:ilvl w:val="0"/>
          <w:numId w:val="1"/>
        </w:numPr>
      </w:pPr>
      <w:r w:rsidRPr="0044237D">
        <w:rPr>
          <w:b/>
          <w:color w:val="000000"/>
          <w:szCs w:val="24"/>
        </w:rPr>
        <w:t>primary measles infection</w:t>
      </w:r>
      <w:r w:rsidRPr="002E183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(usually at</w:t>
      </w:r>
      <w:r w:rsidRPr="002E183E">
        <w:rPr>
          <w:color w:val="000000"/>
          <w:szCs w:val="24"/>
        </w:rPr>
        <w:t xml:space="preserve"> age </w:t>
      </w:r>
      <w:r>
        <w:rPr>
          <w:color w:val="000000"/>
          <w:szCs w:val="24"/>
        </w:rPr>
        <w:t>&lt;</w:t>
      </w:r>
      <w:r w:rsidRPr="002E183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</w:t>
      </w:r>
      <w:r w:rsidRPr="002E183E">
        <w:rPr>
          <w:color w:val="000000"/>
          <w:szCs w:val="24"/>
        </w:rPr>
        <w:t xml:space="preserve"> years</w:t>
      </w:r>
      <w:r w:rsidR="005A460B">
        <w:rPr>
          <w:color w:val="000000"/>
          <w:szCs w:val="24"/>
        </w:rPr>
        <w:t>*</w:t>
      </w:r>
      <w:r>
        <w:rPr>
          <w:color w:val="000000"/>
          <w:szCs w:val="24"/>
        </w:rPr>
        <w:t>) →</w:t>
      </w:r>
      <w:r>
        <w:rPr>
          <w:b/>
        </w:rPr>
        <w:t xml:space="preserve"> </w:t>
      </w:r>
      <w:r w:rsidR="00F4421D" w:rsidRPr="002E183E">
        <w:t xml:space="preserve">emergence of </w:t>
      </w:r>
      <w:r w:rsidR="00C8087E">
        <w:rPr>
          <w:b/>
        </w:rPr>
        <w:t>defective</w:t>
      </w:r>
      <w:r w:rsidR="0056036B">
        <w:t>*</w:t>
      </w:r>
      <w:r w:rsidR="005A460B">
        <w:t>*</w:t>
      </w:r>
      <w:r w:rsidR="00C8087E">
        <w:rPr>
          <w:b/>
        </w:rPr>
        <w:t xml:space="preserve"> </w:t>
      </w:r>
      <w:r w:rsidR="00C8087E" w:rsidRPr="00156F0C">
        <w:rPr>
          <w:b/>
        </w:rPr>
        <w:t xml:space="preserve">measles </w:t>
      </w:r>
      <w:r w:rsidR="00C8087E">
        <w:rPr>
          <w:b/>
        </w:rPr>
        <w:t xml:space="preserve">virus </w:t>
      </w:r>
      <w:r w:rsidR="00C8087E" w:rsidRPr="005A460B">
        <w:t>→</w:t>
      </w:r>
      <w:r w:rsidR="00C8087E">
        <w:rPr>
          <w:b/>
        </w:rPr>
        <w:t xml:space="preserve"> </w:t>
      </w:r>
      <w:r w:rsidR="008529FB" w:rsidRPr="00156F0C">
        <w:rPr>
          <w:b/>
        </w:rPr>
        <w:t>virus persistence</w:t>
      </w:r>
      <w:r w:rsidR="008529FB">
        <w:t xml:space="preserve"> (virus particles are found in brain biopsy) –</w:t>
      </w:r>
      <w:r w:rsidR="0077582E">
        <w:t xml:space="preserve"> </w:t>
      </w:r>
      <w:r w:rsidR="008529FB" w:rsidRPr="00266B51">
        <w:rPr>
          <w:shd w:val="clear" w:color="auto" w:fill="FFCCFF"/>
        </w:rPr>
        <w:t xml:space="preserve">years after </w:t>
      </w:r>
      <w:r w:rsidR="00BB482A">
        <w:rPr>
          <w:shd w:val="clear" w:color="auto" w:fill="FFCCFF"/>
        </w:rPr>
        <w:t xml:space="preserve">acute </w:t>
      </w:r>
      <w:r w:rsidR="008529FB" w:rsidRPr="00266B51">
        <w:rPr>
          <w:shd w:val="clear" w:color="auto" w:fill="FFCCFF"/>
        </w:rPr>
        <w:t>measles</w:t>
      </w:r>
      <w:r w:rsidR="00000F83">
        <w:t>.</w:t>
      </w:r>
    </w:p>
    <w:p w:rsidR="008529FB" w:rsidRDefault="00156F0C" w:rsidP="00266B51">
      <w:pPr>
        <w:numPr>
          <w:ilvl w:val="0"/>
          <w:numId w:val="1"/>
        </w:numPr>
        <w:spacing w:before="120"/>
        <w:ind w:left="357" w:hanging="357"/>
      </w:pPr>
      <w:r w:rsidRPr="00156F0C">
        <w:rPr>
          <w:b/>
        </w:rPr>
        <w:t>after</w:t>
      </w:r>
      <w:r>
        <w:t xml:space="preserve"> </w:t>
      </w:r>
      <w:r w:rsidRPr="002E2BEB">
        <w:rPr>
          <w:b/>
          <w:color w:val="008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MMR</w:t>
      </w:r>
      <w:r>
        <w:t xml:space="preserve"> </w:t>
      </w:r>
      <w:r w:rsidRPr="00156F0C">
        <w:rPr>
          <w:b/>
        </w:rPr>
        <w:t>vaccination</w:t>
      </w:r>
      <w:r>
        <w:t xml:space="preserve"> – incidence </w:t>
      </w:r>
      <w:r w:rsidR="005A460B">
        <w:t xml:space="preserve">&lt; </w:t>
      </w:r>
      <w:r>
        <w:t>1 : 1000,000 (i.e. much less common).</w:t>
      </w:r>
    </w:p>
    <w:p w:rsidR="008529FB" w:rsidRDefault="008529FB"/>
    <w:p w:rsidR="005A460B" w:rsidRDefault="005A460B" w:rsidP="00587D7E">
      <w:pPr>
        <w:ind w:left="1440"/>
        <w:jc w:val="right"/>
      </w:pPr>
      <w:r>
        <w:t>*</w:t>
      </w:r>
      <w:r w:rsidRPr="002E183E">
        <w:t>when maternal antibody may still have been present</w:t>
      </w:r>
    </w:p>
    <w:p w:rsidR="0056036B" w:rsidRDefault="005A460B" w:rsidP="00587D7E">
      <w:pPr>
        <w:ind w:left="1440"/>
        <w:jc w:val="right"/>
      </w:pPr>
      <w:r>
        <w:t>*</w:t>
      </w:r>
      <w:r w:rsidR="0056036B">
        <w:t>*</w:t>
      </w:r>
      <w:r w:rsidR="0056036B" w:rsidRPr="00587D7E">
        <w:rPr>
          <w:highlight w:val="yellow"/>
        </w:rPr>
        <w:t>absent M protein</w:t>
      </w:r>
      <w:r w:rsidR="0056036B" w:rsidRPr="002E183E">
        <w:t xml:space="preserve"> </w:t>
      </w:r>
      <w:r w:rsidR="0056036B">
        <w:t>-</w:t>
      </w:r>
      <w:r w:rsidR="0056036B" w:rsidRPr="002E183E">
        <w:t xml:space="preserve"> necessary for alignment of nucleocapsids under viral proteins in</w:t>
      </w:r>
      <w:r w:rsidR="0056036B">
        <w:t xml:space="preserve"> </w:t>
      </w:r>
      <w:r w:rsidR="0056036B" w:rsidRPr="002E183E">
        <w:t>cell membrane so that budding of virus can take place</w:t>
      </w:r>
      <w:r w:rsidR="00587D7E">
        <w:t xml:space="preserve">; </w:t>
      </w:r>
      <w:r w:rsidR="00587D7E" w:rsidRPr="002E183E">
        <w:t xml:space="preserve">in SSPE there is no budding and no release of extracellular virus </w:t>
      </w:r>
      <w:r w:rsidR="00587D7E">
        <w:t xml:space="preserve">- </w:t>
      </w:r>
      <w:r w:rsidR="00587D7E" w:rsidRPr="00587D7E">
        <w:rPr>
          <w:i/>
        </w:rPr>
        <w:t>virus spread occurs by cell fusion</w:t>
      </w:r>
    </w:p>
    <w:p w:rsidR="008529FB" w:rsidRDefault="008529FB" w:rsidP="00321A3C">
      <w:pPr>
        <w:pStyle w:val="Nervous6"/>
        <w:ind w:right="7795"/>
      </w:pPr>
      <w:r>
        <w:t>Clinical Features</w:t>
      </w:r>
    </w:p>
    <w:p w:rsidR="00BB482A" w:rsidRDefault="00BB482A" w:rsidP="00321A3C">
      <w:pPr>
        <w:spacing w:after="120"/>
      </w:pPr>
      <w:r>
        <w:t xml:space="preserve">- </w:t>
      </w:r>
      <w:r w:rsidRPr="002E183E">
        <w:t xml:space="preserve">insidious onset of </w:t>
      </w:r>
      <w:r w:rsidR="00A06FC2">
        <w:rPr>
          <w:color w:val="000000"/>
          <w:szCs w:val="24"/>
        </w:rPr>
        <w:t>gradual</w:t>
      </w:r>
      <w:r w:rsidR="00A06FC2" w:rsidRPr="002E183E">
        <w:rPr>
          <w:color w:val="000000"/>
          <w:szCs w:val="24"/>
        </w:rPr>
        <w:t xml:space="preserve"> progressive psychoneurological </w:t>
      </w:r>
      <w:r w:rsidRPr="002E183E">
        <w:t>dysfunction</w:t>
      </w:r>
      <w:r w:rsidR="005A460B">
        <w:t xml:space="preserve"> (no fever):</w:t>
      </w:r>
    </w:p>
    <w:p w:rsidR="008529FB" w:rsidRDefault="00EB643A" w:rsidP="00EB643A">
      <w:pPr>
        <w:numPr>
          <w:ilvl w:val="1"/>
          <w:numId w:val="1"/>
        </w:numPr>
      </w:pPr>
      <w:r w:rsidRPr="00CF2706">
        <w:rPr>
          <w:b/>
        </w:rPr>
        <w:t>Mental deterioration</w:t>
      </w:r>
      <w:r w:rsidR="0077582E">
        <w:t xml:space="preserve">, </w:t>
      </w:r>
      <w:r w:rsidR="0077582E" w:rsidRPr="002E183E">
        <w:t xml:space="preserve">personality </w:t>
      </w:r>
      <w:r w:rsidR="00B478AB" w:rsidRPr="002E183E">
        <w:t xml:space="preserve">and behavioral </w:t>
      </w:r>
      <w:r w:rsidR="0077582E" w:rsidRPr="002E183E">
        <w:t>changes</w:t>
      </w:r>
    </w:p>
    <w:p w:rsidR="00EB643A" w:rsidRDefault="00EB643A" w:rsidP="00EB643A">
      <w:pPr>
        <w:numPr>
          <w:ilvl w:val="1"/>
          <w:numId w:val="1"/>
        </w:numPr>
      </w:pPr>
      <w:r w:rsidRPr="00CF2706">
        <w:rPr>
          <w:b/>
        </w:rPr>
        <w:t>Seizures</w:t>
      </w:r>
      <w:r>
        <w:t xml:space="preserve"> (initially </w:t>
      </w:r>
      <w:r w:rsidRPr="00A06FC2">
        <w:rPr>
          <w:i/>
          <w:color w:val="0000FF"/>
        </w:rPr>
        <w:t>myoclonic jerks</w:t>
      </w:r>
      <w:r>
        <w:t>)</w:t>
      </w:r>
    </w:p>
    <w:p w:rsidR="00EB643A" w:rsidRDefault="00EB643A" w:rsidP="00EB643A">
      <w:pPr>
        <w:numPr>
          <w:ilvl w:val="1"/>
          <w:numId w:val="1"/>
        </w:numPr>
      </w:pPr>
      <w:r w:rsidRPr="00CF2706">
        <w:rPr>
          <w:b/>
        </w:rPr>
        <w:t>Motor abnormalities</w:t>
      </w:r>
      <w:r>
        <w:t xml:space="preserve"> (dystonia, rigidity</w:t>
      </w:r>
      <w:r w:rsidR="004E5ECD">
        <w:t>, ataxia</w:t>
      </w:r>
      <w:r>
        <w:t xml:space="preserve"> → </w:t>
      </w:r>
      <w:r w:rsidR="00F4421D" w:rsidRPr="002E183E">
        <w:t xml:space="preserve">rigid quadriplegia </w:t>
      </w:r>
      <w:r w:rsidR="00B478AB" w:rsidRPr="002E183E">
        <w:t>and</w:t>
      </w:r>
      <w:r w:rsidR="00B478AB">
        <w:t xml:space="preserve"> </w:t>
      </w:r>
      <w:r w:rsidR="00B478AB" w:rsidRPr="002E183E">
        <w:t xml:space="preserve">vegetative state </w:t>
      </w:r>
      <w:r w:rsidR="00F4421D" w:rsidRPr="002E183E">
        <w:t xml:space="preserve">simulating </w:t>
      </w:r>
      <w:r>
        <w:t>decerebration)</w:t>
      </w:r>
    </w:p>
    <w:p w:rsidR="00A06FC2" w:rsidRDefault="00A06FC2" w:rsidP="00EB643A">
      <w:pPr>
        <w:numPr>
          <w:ilvl w:val="1"/>
          <w:numId w:val="1"/>
        </w:numPr>
      </w:pPr>
      <w:r>
        <w:rPr>
          <w:color w:val="000000"/>
          <w:szCs w:val="24"/>
        </w:rPr>
        <w:t>O</w:t>
      </w:r>
      <w:r w:rsidRPr="002E183E">
        <w:rPr>
          <w:color w:val="000000"/>
          <w:szCs w:val="24"/>
        </w:rPr>
        <w:t>cular abnormalities</w:t>
      </w:r>
    </w:p>
    <w:p w:rsidR="00EB643A" w:rsidRDefault="00EB643A"/>
    <w:p w:rsidR="00EB643A" w:rsidRDefault="00BB482A" w:rsidP="00BB482A">
      <w:pPr>
        <w:numPr>
          <w:ilvl w:val="2"/>
          <w:numId w:val="1"/>
        </w:numPr>
      </w:pPr>
      <w:r w:rsidRPr="00931160">
        <w:rPr>
          <w:color w:val="FF0000"/>
        </w:rPr>
        <w:t>100%</w:t>
      </w:r>
      <w:r>
        <w:rPr>
          <w:color w:val="FF0000"/>
        </w:rPr>
        <w:t xml:space="preserve"> </w:t>
      </w:r>
      <w:r w:rsidRPr="00BB482A">
        <w:rPr>
          <w:color w:val="FF0000"/>
        </w:rPr>
        <w:t>progresses to coma and death</w:t>
      </w:r>
      <w:r>
        <w:t xml:space="preserve"> within </w:t>
      </w:r>
      <w:r w:rsidR="00A12D6C">
        <w:t>1-10</w:t>
      </w:r>
      <w:r w:rsidR="00EB643A">
        <w:t xml:space="preserve"> years (</w:t>
      </w:r>
      <w:r w:rsidR="00EB643A" w:rsidRPr="00EB643A">
        <w:rPr>
          <w:lang w:val="lt-LT"/>
        </w:rPr>
        <w:t>džn. dėl pneumonijos</w:t>
      </w:r>
      <w:r w:rsidR="00EB643A">
        <w:t>).</w:t>
      </w:r>
    </w:p>
    <w:p w:rsidR="00EB643A" w:rsidRDefault="00EB643A"/>
    <w:p w:rsidR="008529FB" w:rsidRDefault="008529FB" w:rsidP="00857528">
      <w:pPr>
        <w:pStyle w:val="Nervous6"/>
        <w:ind w:right="8646"/>
      </w:pPr>
      <w:r>
        <w:t>Diagnosis</w:t>
      </w:r>
    </w:p>
    <w:p w:rsidR="008529FB" w:rsidRDefault="0036080B" w:rsidP="002B4D4A">
      <w:pPr>
        <w:numPr>
          <w:ilvl w:val="0"/>
          <w:numId w:val="2"/>
        </w:numPr>
        <w:spacing w:before="120"/>
      </w:pPr>
      <w:r w:rsidRPr="0036080B">
        <w:rPr>
          <w:b/>
          <w:color w:val="0000FF"/>
        </w:rPr>
        <w:t>EEG</w:t>
      </w:r>
      <w:r>
        <w:t xml:space="preserve"> – characteristic </w:t>
      </w:r>
      <w:r w:rsidRPr="00466202">
        <w:rPr>
          <w:i/>
          <w:color w:val="FF0000"/>
        </w:rPr>
        <w:t xml:space="preserve">periodic </w:t>
      </w:r>
      <w:r w:rsidR="00466202" w:rsidRPr="00466202">
        <w:rPr>
          <w:i/>
          <w:color w:val="FF0000"/>
        </w:rPr>
        <w:t>complexes</w:t>
      </w:r>
      <w:r w:rsidR="00CF2706">
        <w:t xml:space="preserve"> (on attenuated </w:t>
      </w:r>
      <w:r w:rsidR="00CF2706" w:rsidRPr="002E183E">
        <w:t xml:space="preserve">"flat" </w:t>
      </w:r>
      <w:r w:rsidR="00CF2706">
        <w:t>background):</w:t>
      </w:r>
      <w:r w:rsidR="006F7F12">
        <w:t xml:space="preserve"> </w:t>
      </w:r>
      <w:r w:rsidR="006F7F12" w:rsidRPr="002E183E">
        <w:t xml:space="preserve">regular stereotyped bursts of </w:t>
      </w:r>
      <w:r w:rsidR="006F7F12" w:rsidRPr="00CF2706">
        <w:rPr>
          <w:i/>
        </w:rPr>
        <w:t xml:space="preserve">high-voltage </w:t>
      </w:r>
      <w:r w:rsidR="00DA4CBC" w:rsidRPr="00CF2706">
        <w:rPr>
          <w:i/>
        </w:rPr>
        <w:t>slow</w:t>
      </w:r>
      <w:r w:rsidR="00DA4CBC">
        <w:t xml:space="preserve"> </w:t>
      </w:r>
      <w:r w:rsidR="006F7F12">
        <w:t xml:space="preserve">δ </w:t>
      </w:r>
      <w:r w:rsidR="006F7F12" w:rsidRPr="00CF2706">
        <w:rPr>
          <w:i/>
        </w:rPr>
        <w:t>waves</w:t>
      </w:r>
      <w:r w:rsidR="006F7F12" w:rsidRPr="002E183E">
        <w:t xml:space="preserve"> recurring at </w:t>
      </w:r>
      <w:r w:rsidR="00CF2706">
        <w:t>3</w:t>
      </w:r>
      <w:r w:rsidR="006F7F12">
        <w:t>-</w:t>
      </w:r>
      <w:r w:rsidR="00F4421D">
        <w:t>20</w:t>
      </w:r>
      <w:r w:rsidR="006F7F12">
        <w:t xml:space="preserve"> </w:t>
      </w:r>
      <w:r w:rsidR="006F7F12" w:rsidRPr="002E183E">
        <w:t>second intervals</w:t>
      </w:r>
      <w:r w:rsidR="006F7F12">
        <w:t xml:space="preserve"> </w:t>
      </w:r>
      <w:r w:rsidR="00466202">
        <w:t>(</w:t>
      </w:r>
      <w:r w:rsidR="00466202" w:rsidRPr="002E183E">
        <w:t>one-to-one relationship with</w:t>
      </w:r>
      <w:r w:rsidR="00466202" w:rsidRPr="00466202">
        <w:t xml:space="preserve"> </w:t>
      </w:r>
      <w:r w:rsidR="00466202" w:rsidRPr="002E183E">
        <w:t>clinical myoclonic jerks</w:t>
      </w:r>
      <w:r w:rsidR="00466202">
        <w:t>).</w:t>
      </w:r>
    </w:p>
    <w:p w:rsidR="00C24CA6" w:rsidRDefault="00451DBD" w:rsidP="00451DBD">
      <w:pPr>
        <w:numPr>
          <w:ilvl w:val="0"/>
          <w:numId w:val="23"/>
        </w:numPr>
      </w:pPr>
      <w:r>
        <w:t>e</w:t>
      </w:r>
      <w:r w:rsidR="00C24CA6" w:rsidRPr="002E183E">
        <w:t xml:space="preserve">arly in disease, bursts may </w:t>
      </w:r>
      <w:r>
        <w:t xml:space="preserve">be confined to sleep (H: </w:t>
      </w:r>
      <w:r w:rsidR="00C24CA6" w:rsidRPr="002E183E">
        <w:t>serial EEGs</w:t>
      </w:r>
      <w:r>
        <w:t>)</w:t>
      </w:r>
      <w:r w:rsidR="00C24CA6">
        <w:t>.</w:t>
      </w:r>
    </w:p>
    <w:p w:rsidR="0036080B" w:rsidRDefault="0036080B" w:rsidP="002B4D4A">
      <w:pPr>
        <w:numPr>
          <w:ilvl w:val="0"/>
          <w:numId w:val="2"/>
        </w:numPr>
        <w:spacing w:before="120"/>
      </w:pPr>
      <w:r w:rsidRPr="0036080B">
        <w:rPr>
          <w:b/>
          <w:color w:val="0000FF"/>
        </w:rPr>
        <w:t>CT</w:t>
      </w:r>
      <w:r>
        <w:t xml:space="preserve"> – </w:t>
      </w:r>
      <w:r w:rsidR="00B478AB" w:rsidRPr="00F04862">
        <w:rPr>
          <w:color w:val="FF0000"/>
        </w:rPr>
        <w:t xml:space="preserve">generalized </w:t>
      </w:r>
      <w:r w:rsidRPr="00F04862">
        <w:rPr>
          <w:color w:val="FF0000"/>
        </w:rPr>
        <w:t>cortical atrophy</w:t>
      </w:r>
      <w:r w:rsidR="008B785A">
        <w:t xml:space="preserve"> (i.e. polioencephalitis)</w:t>
      </w:r>
      <w:r>
        <w:t xml:space="preserve">, </w:t>
      </w:r>
      <w:r w:rsidR="00A16650" w:rsidRPr="002E183E">
        <w:t xml:space="preserve">multifocal </w:t>
      </w:r>
      <w:r>
        <w:t>hy</w:t>
      </w:r>
      <w:r w:rsidR="00A16650">
        <w:t>podense lesions in white matter</w:t>
      </w:r>
      <w:r w:rsidR="008B785A">
        <w:t xml:space="preserve"> (i.e. </w:t>
      </w:r>
      <w:r w:rsidR="008B785A" w:rsidRPr="00F04862">
        <w:rPr>
          <w:color w:val="FF0000"/>
        </w:rPr>
        <w:t>leukoencephalitis</w:t>
      </w:r>
      <w:r w:rsidR="008B785A">
        <w:t>)</w:t>
      </w:r>
      <w:r w:rsidR="00A16650">
        <w:t xml:space="preserve">, </w:t>
      </w:r>
      <w:r w:rsidR="00A16650" w:rsidRPr="002E183E">
        <w:t>ex vacuo ventricular enlargement</w:t>
      </w:r>
      <w:r w:rsidR="00A16650">
        <w:t>.</w:t>
      </w:r>
    </w:p>
    <w:p w:rsidR="0036080B" w:rsidRDefault="0036080B" w:rsidP="00A64309">
      <w:pPr>
        <w:numPr>
          <w:ilvl w:val="0"/>
          <w:numId w:val="2"/>
        </w:numPr>
        <w:spacing w:before="120"/>
      </w:pPr>
      <w:r w:rsidRPr="0036080B">
        <w:rPr>
          <w:b/>
          <w:color w:val="0000FF"/>
        </w:rPr>
        <w:t>CSF</w:t>
      </w:r>
      <w:r>
        <w:t xml:space="preserve"> – </w:t>
      </w:r>
      <w:r w:rsidR="00A64309" w:rsidRPr="002E183E">
        <w:t>acellular</w:t>
      </w:r>
      <w:r w:rsidR="00A64309">
        <w:t xml:space="preserve">, </w:t>
      </w:r>
      <w:r w:rsidR="00F4421D">
        <w:t xml:space="preserve">protein content normal but </w:t>
      </w:r>
      <w:r w:rsidR="00A64309">
        <w:t>globulins↑</w:t>
      </w:r>
      <w:r w:rsidR="00F4421D">
        <w:t>*</w:t>
      </w:r>
      <w:r w:rsidR="00A64309">
        <w:t xml:space="preserve"> (</w:t>
      </w:r>
      <w:r w:rsidR="00A64309" w:rsidRPr="002E183E">
        <w:t>&gt;</w:t>
      </w:r>
      <w:r w:rsidR="00A64309">
        <w:t xml:space="preserve"> 20% </w:t>
      </w:r>
      <w:r w:rsidR="00A64309" w:rsidRPr="002E183E">
        <w:t>of total CSF protein</w:t>
      </w:r>
      <w:r w:rsidR="00A64309">
        <w:t>).</w:t>
      </w:r>
    </w:p>
    <w:p w:rsidR="00F4421D" w:rsidRDefault="00F4421D" w:rsidP="00F4421D">
      <w:pPr>
        <w:spacing w:before="120"/>
        <w:jc w:val="right"/>
      </w:pPr>
      <w:r>
        <w:t>*o</w:t>
      </w:r>
      <w:r w:rsidRPr="002E183E">
        <w:t>ligoclonal IgG bands representing measles virus-specific antibodies</w:t>
      </w:r>
    </w:p>
    <w:p w:rsidR="0036080B" w:rsidRDefault="0036080B" w:rsidP="002B4D4A">
      <w:pPr>
        <w:numPr>
          <w:ilvl w:val="0"/>
          <w:numId w:val="2"/>
        </w:numPr>
        <w:spacing w:before="120"/>
      </w:pPr>
      <w:r w:rsidRPr="0036080B">
        <w:rPr>
          <w:b/>
          <w:color w:val="0000FF"/>
        </w:rPr>
        <w:t>Measles Ab</w:t>
      </w:r>
      <w:r>
        <w:t>↑ in serum, CSF</w:t>
      </w:r>
    </w:p>
    <w:p w:rsidR="00931160" w:rsidRDefault="00931160" w:rsidP="00931160">
      <w:pPr>
        <w:ind w:left="720"/>
      </w:pPr>
      <w:r>
        <w:t xml:space="preserve">N.B. </w:t>
      </w:r>
      <w:r w:rsidRPr="00C8087E">
        <w:rPr>
          <w:lang w:val="lt-LT"/>
        </w:rPr>
        <w:t>neaptinkama įprastinio Ak prieš</w:t>
      </w:r>
      <w:r>
        <w:t xml:space="preserve"> measle</w:t>
      </w:r>
      <w:r w:rsidR="00C8087E">
        <w:t>s</w:t>
      </w:r>
      <w:r>
        <w:t xml:space="preserve"> M </w:t>
      </w:r>
      <w:r w:rsidRPr="00C8087E">
        <w:rPr>
          <w:lang w:val="lt-LT"/>
        </w:rPr>
        <w:t>proteiną</w:t>
      </w:r>
      <w:r w:rsidR="00C8087E" w:rsidRPr="00C8087E">
        <w:rPr>
          <w:lang w:val="lt-LT"/>
        </w:rPr>
        <w:t xml:space="preserve"> (nes M pro</w:t>
      </w:r>
      <w:r w:rsidR="00C8087E">
        <w:rPr>
          <w:lang w:val="lt-LT"/>
        </w:rPr>
        <w:t>t</w:t>
      </w:r>
      <w:r w:rsidR="00C8087E" w:rsidRPr="00C8087E">
        <w:rPr>
          <w:lang w:val="lt-LT"/>
        </w:rPr>
        <w:t>einas, reikalingas</w:t>
      </w:r>
      <w:r w:rsidR="00C8087E">
        <w:t xml:space="preserve"> for virion assembly, </w:t>
      </w:r>
      <w:r w:rsidR="00C8087E" w:rsidRPr="00C8087E">
        <w:rPr>
          <w:lang w:val="lt-LT"/>
        </w:rPr>
        <w:t>yra defektinis –</w:t>
      </w:r>
      <w:r w:rsidR="00321A3C">
        <w:rPr>
          <w:lang w:val="lt-LT"/>
        </w:rPr>
        <w:t xml:space="preserve"> </w:t>
      </w:r>
      <w:r w:rsidR="00C8087E" w:rsidRPr="00C8087E">
        <w:rPr>
          <w:lang w:val="lt-LT"/>
        </w:rPr>
        <w:t>lemia viruso persistenciją</w:t>
      </w:r>
      <w:r w:rsidR="00C8087E">
        <w:t>).</w:t>
      </w:r>
    </w:p>
    <w:p w:rsidR="0036080B" w:rsidRDefault="0036080B" w:rsidP="002B4D4A">
      <w:pPr>
        <w:numPr>
          <w:ilvl w:val="0"/>
          <w:numId w:val="2"/>
        </w:numPr>
        <w:spacing w:before="120"/>
      </w:pPr>
      <w:r w:rsidRPr="002B4D4A">
        <w:rPr>
          <w:u w:val="single"/>
        </w:rPr>
        <w:t>Diagnosis confirmation</w:t>
      </w:r>
      <w:r>
        <w:t xml:space="preserve"> </w:t>
      </w:r>
      <w:r w:rsidR="00B478AB">
        <w:t>(</w:t>
      </w:r>
      <w:r w:rsidR="00B478AB" w:rsidRPr="002E183E">
        <w:t>rarely needed</w:t>
      </w:r>
      <w:r w:rsidR="00B478AB">
        <w:t>)</w:t>
      </w:r>
      <w:r w:rsidR="00B478AB" w:rsidRPr="002E183E">
        <w:t xml:space="preserve"> </w:t>
      </w:r>
      <w:r>
        <w:t xml:space="preserve">– </w:t>
      </w:r>
      <w:r w:rsidRPr="0036080B">
        <w:rPr>
          <w:b/>
          <w:color w:val="0000FF"/>
        </w:rPr>
        <w:t>brain biopsy</w:t>
      </w:r>
      <w:r>
        <w:t>:</w:t>
      </w:r>
    </w:p>
    <w:p w:rsidR="0036080B" w:rsidRDefault="0083098F" w:rsidP="0083098F">
      <w:pPr>
        <w:numPr>
          <w:ilvl w:val="1"/>
          <w:numId w:val="2"/>
        </w:numPr>
      </w:pPr>
      <w:r>
        <w:t>perivascular cuffing by lymphocytes (host’s immunity intact!)</w:t>
      </w:r>
      <w:r w:rsidR="00B478AB">
        <w:t xml:space="preserve"> </w:t>
      </w:r>
      <w:r w:rsidR="00B478AB" w:rsidRPr="002E183E">
        <w:t>in white and gray matter</w:t>
      </w:r>
      <w:r w:rsidR="00B478AB">
        <w:t>.</w:t>
      </w:r>
    </w:p>
    <w:p w:rsidR="00DA4CBC" w:rsidRDefault="00A7782D" w:rsidP="0083098F">
      <w:pPr>
        <w:numPr>
          <w:ilvl w:val="1"/>
          <w:numId w:val="2"/>
        </w:numPr>
      </w:pPr>
      <w:r>
        <w:t xml:space="preserve">neuronophagia and </w:t>
      </w:r>
      <w:r w:rsidR="00D37390" w:rsidRPr="00B505C9">
        <w:rPr>
          <w:color w:val="FF0000"/>
        </w:rPr>
        <w:t>widespread gliosis</w:t>
      </w:r>
      <w:r w:rsidR="00D37390">
        <w:t xml:space="preserve"> (i</w:t>
      </w:r>
      <w:r w:rsidR="00D37390" w:rsidRPr="002E183E">
        <w:t>n severe long-standing cases,</w:t>
      </w:r>
      <w:r w:rsidR="00D37390">
        <w:t xml:space="preserve"> brain may feel unduly hard – </w:t>
      </w:r>
      <w:r w:rsidR="00D37390" w:rsidRPr="00D37390">
        <w:rPr>
          <w:color w:val="800080"/>
        </w:rPr>
        <w:t>sclerosed</w:t>
      </w:r>
      <w:r w:rsidR="00D37390">
        <w:t>!)</w:t>
      </w:r>
    </w:p>
    <w:p w:rsidR="000E2F7B" w:rsidRDefault="000E2F7B" w:rsidP="0083098F">
      <w:pPr>
        <w:numPr>
          <w:ilvl w:val="1"/>
          <w:numId w:val="2"/>
        </w:numPr>
      </w:pPr>
      <w:r w:rsidRPr="002E183E">
        <w:t>intranuclear</w:t>
      </w:r>
      <w:r w:rsidR="000877F8" w:rsidRPr="000877F8">
        <w:t xml:space="preserve"> </w:t>
      </w:r>
      <w:r w:rsidR="000877F8" w:rsidRPr="002E183E">
        <w:t>eosinophilic</w:t>
      </w:r>
      <w:r w:rsidRPr="002E183E">
        <w:t xml:space="preserve"> </w:t>
      </w:r>
      <w:r w:rsidRPr="00321A3C">
        <w:rPr>
          <w:i/>
          <w:color w:val="993366"/>
        </w:rPr>
        <w:t>inclusion bodies</w:t>
      </w:r>
      <w:r w:rsidRPr="002E183E">
        <w:t xml:space="preserve"> of Cowdry type A </w:t>
      </w:r>
      <w:r>
        <w:t>(</w:t>
      </w:r>
      <w:r w:rsidRPr="002E183E">
        <w:t>with abundant measles antigen</w:t>
      </w:r>
      <w:r>
        <w:t>)</w:t>
      </w:r>
      <w:r w:rsidR="006766C8">
        <w:t xml:space="preserve"> in</w:t>
      </w:r>
      <w:r w:rsidR="006766C8" w:rsidRPr="002E183E">
        <w:t xml:space="preserve"> oligodendrocytes and neurons</w:t>
      </w:r>
      <w:r w:rsidR="006766C8">
        <w:t>.</w:t>
      </w:r>
    </w:p>
    <w:p w:rsidR="001A315F" w:rsidRDefault="001A315F" w:rsidP="0083098F">
      <w:pPr>
        <w:numPr>
          <w:ilvl w:val="1"/>
          <w:numId w:val="2"/>
        </w:numPr>
      </w:pPr>
      <w:r w:rsidRPr="002E183E">
        <w:t xml:space="preserve">viral genome can be detected by </w:t>
      </w:r>
      <w:r w:rsidRPr="0044237D">
        <w:rPr>
          <w:b/>
        </w:rPr>
        <w:t>in situ hybridization</w:t>
      </w:r>
      <w:r>
        <w:t xml:space="preserve"> or </w:t>
      </w:r>
      <w:r w:rsidRPr="0044237D">
        <w:rPr>
          <w:b/>
        </w:rPr>
        <w:t>PCR</w:t>
      </w:r>
      <w:r>
        <w:t>.</w:t>
      </w:r>
    </w:p>
    <w:p w:rsidR="0056036B" w:rsidRDefault="0056036B" w:rsidP="0056036B">
      <w:pPr>
        <w:ind w:left="1440"/>
      </w:pPr>
      <w:r>
        <w:t xml:space="preserve">N.B. </w:t>
      </w:r>
      <w:r w:rsidRPr="002E183E">
        <w:t>viral M (membrane) protein cannot be found in</w:t>
      </w:r>
      <w:r>
        <w:t xml:space="preserve"> </w:t>
      </w:r>
      <w:r w:rsidRPr="002E183E">
        <w:t>brain tissue</w:t>
      </w:r>
      <w:r>
        <w:t>!</w:t>
      </w:r>
    </w:p>
    <w:p w:rsidR="0083098F" w:rsidRDefault="002B4D4A" w:rsidP="00D37390">
      <w:pPr>
        <w:numPr>
          <w:ilvl w:val="1"/>
          <w:numId w:val="2"/>
        </w:numPr>
      </w:pPr>
      <w:r>
        <w:t xml:space="preserve">virus is isolated by </w:t>
      </w:r>
      <w:r w:rsidRPr="0044237D">
        <w:rPr>
          <w:b/>
        </w:rPr>
        <w:t>co-culture with permissive cell lines</w:t>
      </w:r>
      <w:r>
        <w:t>.</w:t>
      </w:r>
    </w:p>
    <w:p w:rsidR="00D37390" w:rsidRDefault="00D37390"/>
    <w:p w:rsidR="008529FB" w:rsidRDefault="008529FB" w:rsidP="00857528">
      <w:pPr>
        <w:pStyle w:val="Nervous6"/>
        <w:ind w:right="8362"/>
      </w:pPr>
      <w:r>
        <w:t>Treatment</w:t>
      </w:r>
    </w:p>
    <w:p w:rsidR="008529FB" w:rsidRDefault="00C8087E">
      <w:r>
        <w:t xml:space="preserve">- </w:t>
      </w:r>
      <w:r w:rsidRPr="00C8087E">
        <w:rPr>
          <w:b/>
        </w:rPr>
        <w:t>supportive</w:t>
      </w:r>
      <w:r>
        <w:t xml:space="preserve"> (anticonvulsants, etc).</w:t>
      </w:r>
    </w:p>
    <w:p w:rsidR="008529FB" w:rsidRDefault="007B0457">
      <w:pPr>
        <w:numPr>
          <w:ilvl w:val="0"/>
          <w:numId w:val="3"/>
        </w:numPr>
      </w:pPr>
      <w:r w:rsidRPr="002E183E">
        <w:lastRenderedPageBreak/>
        <w:t xml:space="preserve">reports of clinical improvement </w:t>
      </w:r>
      <w:r>
        <w:t>with</w:t>
      </w:r>
      <w:r w:rsidR="00C8087E">
        <w:t xml:space="preserve"> </w:t>
      </w:r>
      <w:r w:rsidR="00C8087E" w:rsidRPr="007B0457">
        <w:rPr>
          <w:rStyle w:val="Drugname2Char"/>
        </w:rPr>
        <w:t>IFN-</w:t>
      </w:r>
      <w:r w:rsidR="00C8087E" w:rsidRPr="007B0457">
        <w:rPr>
          <w:rStyle w:val="Drugname2Char"/>
          <w:smallCaps w:val="0"/>
        </w:rPr>
        <w:t>α</w:t>
      </w:r>
      <w:r w:rsidR="00C8087E">
        <w:t xml:space="preserve">, </w:t>
      </w:r>
      <w:r w:rsidR="00FF1E1E" w:rsidRPr="00FF1E1E">
        <w:rPr>
          <w:rStyle w:val="Drugname2Char"/>
        </w:rPr>
        <w:t>isoprinosine</w:t>
      </w:r>
      <w:r w:rsidR="00FF1E1E">
        <w:t xml:space="preserve"> (</w:t>
      </w:r>
      <w:r w:rsidR="00A16650" w:rsidRPr="002E2BEB"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Inosiplex</w:t>
      </w:r>
      <w:r w:rsidR="00A16650" w:rsidRPr="002E183E">
        <w:t>) 100 mg/kg</w:t>
      </w:r>
      <w:r w:rsidR="00A16650">
        <w:t>/d.</w:t>
      </w:r>
    </w:p>
    <w:sectPr w:rsidR="008529FB" w:rsidSect="00857528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E7" w:rsidRDefault="002017E7">
      <w:r>
        <w:separator/>
      </w:r>
    </w:p>
  </w:endnote>
  <w:endnote w:type="continuationSeparator" w:id="0">
    <w:p w:rsidR="002017E7" w:rsidRDefault="0020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EC0294">
    <w:pPr>
      <w:pStyle w:val="Footer"/>
      <w:jc w:val="right"/>
    </w:pPr>
    <w:r>
      <w:t>265</w:t>
    </w:r>
    <w:r w:rsidR="00A908F0">
      <w:t xml:space="preserve"> (</w:t>
    </w:r>
    <w:r w:rsidR="003C71DE">
      <w:t>7a</w:t>
    </w:r>
    <w:r w:rsidR="00A908F0">
      <w:rPr>
        <w:rStyle w:val="PageNumber"/>
      </w:rPr>
      <w:t>)</w:t>
    </w:r>
    <w:r w:rsidR="00900B40">
      <w:rPr>
        <w:rStyle w:val="PageNumber"/>
      </w:rPr>
      <w:t xml:space="preserve"> - </w:t>
    </w:r>
    <w:r w:rsidR="00900B40">
      <w:rPr>
        <w:rStyle w:val="PageNumber"/>
      </w:rPr>
      <w:fldChar w:fldCharType="begin"/>
    </w:r>
    <w:r w:rsidR="00900B40">
      <w:rPr>
        <w:rStyle w:val="PageNumber"/>
      </w:rPr>
      <w:instrText xml:space="preserve"> PAGE </w:instrText>
    </w:r>
    <w:r w:rsidR="00900B40">
      <w:rPr>
        <w:rStyle w:val="PageNumber"/>
      </w:rPr>
      <w:fldChar w:fldCharType="separate"/>
    </w:r>
    <w:r w:rsidR="002E2BEB">
      <w:rPr>
        <w:rStyle w:val="PageNumber"/>
        <w:noProof/>
      </w:rPr>
      <w:t>3</w:t>
    </w:r>
    <w:r w:rsidR="00900B4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E7" w:rsidRDefault="002017E7">
      <w:r>
        <w:separator/>
      </w:r>
    </w:p>
  </w:footnote>
  <w:footnote w:type="continuationSeparator" w:id="0">
    <w:p w:rsidR="002017E7" w:rsidRDefault="0020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EC0294" w:rsidRDefault="00EC0294">
    <w:pPr>
      <w:pStyle w:val="Header"/>
      <w:pBdr>
        <w:bottom w:val="single" w:sz="4" w:space="1" w:color="auto"/>
      </w:pBdr>
      <w:rPr>
        <w:bCs/>
        <w:i/>
      </w:rPr>
    </w:pPr>
    <w:r>
      <w:rPr>
        <w:b/>
        <w:caps/>
      </w:rPr>
      <w:t>infection</w:t>
    </w:r>
    <w:r w:rsidR="00A908F0">
      <w:rPr>
        <w:bCs/>
      </w:rPr>
      <w:t xml:space="preserve">    </w:t>
    </w:r>
    <w:r w:rsidR="00900B40">
      <w:rPr>
        <w:i/>
      </w:rPr>
      <w:t>Measles Encephalitides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A2F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66AB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69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AD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461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740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86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281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7C1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203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961DB"/>
    <w:multiLevelType w:val="hybridMultilevel"/>
    <w:tmpl w:val="BFF6C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C0AB2"/>
    <w:multiLevelType w:val="multilevel"/>
    <w:tmpl w:val="C8E0DD0E"/>
    <w:lvl w:ilvl="0">
      <w:start w:val="1"/>
      <w:numFmt w:val="decimal"/>
      <w:lvlText w:val="%1)"/>
      <w:lvlJc w:val="left"/>
      <w:pPr>
        <w:tabs>
          <w:tab w:val="num" w:pos="360"/>
        </w:tabs>
        <w:ind w:left="341" w:hanging="341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B31B6C"/>
    <w:multiLevelType w:val="hybridMultilevel"/>
    <w:tmpl w:val="7BDE754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A1A5AE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ED361C8"/>
    <w:multiLevelType w:val="hybridMultilevel"/>
    <w:tmpl w:val="2354B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21967"/>
    <w:multiLevelType w:val="hybridMultilevel"/>
    <w:tmpl w:val="FD86B4CA"/>
    <w:lvl w:ilvl="0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9A969B5"/>
    <w:multiLevelType w:val="hybridMultilevel"/>
    <w:tmpl w:val="C4B253E6"/>
    <w:lvl w:ilvl="0" w:tplc="3A1A5A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21644"/>
    <w:multiLevelType w:val="hybridMultilevel"/>
    <w:tmpl w:val="F4EED430"/>
    <w:lvl w:ilvl="0" w:tplc="7CD20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1" w:tplc="D226A9D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E6054"/>
    <w:multiLevelType w:val="multilevel"/>
    <w:tmpl w:val="FD86B4C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C8750E3"/>
    <w:multiLevelType w:val="hybridMultilevel"/>
    <w:tmpl w:val="A2A87C7C"/>
    <w:lvl w:ilvl="0" w:tplc="3A1A5A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D226A9D8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  <w:b w:val="0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4C801263"/>
    <w:multiLevelType w:val="hybridMultilevel"/>
    <w:tmpl w:val="2E76A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FB44FD"/>
    <w:multiLevelType w:val="multilevel"/>
    <w:tmpl w:val="DCA0A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05732C"/>
    <w:multiLevelType w:val="multilevel"/>
    <w:tmpl w:val="1D1AB9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1148C2"/>
    <w:multiLevelType w:val="hybridMultilevel"/>
    <w:tmpl w:val="B414FDB0"/>
    <w:lvl w:ilvl="0" w:tplc="70C6F8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mallCaps w:val="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226A9D8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mallCaps w:val="0"/>
      </w:rPr>
    </w:lvl>
    <w:lvl w:ilvl="3" w:tplc="7CD20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14"/>
  </w:num>
  <w:num w:numId="17">
    <w:abstractNumId w:val="13"/>
  </w:num>
  <w:num w:numId="18">
    <w:abstractNumId w:val="17"/>
  </w:num>
  <w:num w:numId="19">
    <w:abstractNumId w:val="16"/>
  </w:num>
  <w:num w:numId="20">
    <w:abstractNumId w:val="20"/>
  </w:num>
  <w:num w:numId="21">
    <w:abstractNumId w:val="11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0F83"/>
    <w:rsid w:val="000877F8"/>
    <w:rsid w:val="000A52E8"/>
    <w:rsid w:val="000E2F7B"/>
    <w:rsid w:val="000F1865"/>
    <w:rsid w:val="00156F0C"/>
    <w:rsid w:val="001A315F"/>
    <w:rsid w:val="002017E7"/>
    <w:rsid w:val="00266B51"/>
    <w:rsid w:val="0028691F"/>
    <w:rsid w:val="002935FB"/>
    <w:rsid w:val="002B4D4A"/>
    <w:rsid w:val="002D5AEE"/>
    <w:rsid w:val="002E2BEB"/>
    <w:rsid w:val="002F0119"/>
    <w:rsid w:val="00303511"/>
    <w:rsid w:val="00321A3C"/>
    <w:rsid w:val="003259B6"/>
    <w:rsid w:val="0036080B"/>
    <w:rsid w:val="003C71DE"/>
    <w:rsid w:val="003F0FAF"/>
    <w:rsid w:val="00436893"/>
    <w:rsid w:val="0044237D"/>
    <w:rsid w:val="00451DBD"/>
    <w:rsid w:val="00463DF7"/>
    <w:rsid w:val="00466202"/>
    <w:rsid w:val="00492B00"/>
    <w:rsid w:val="004E5ECD"/>
    <w:rsid w:val="00520CBA"/>
    <w:rsid w:val="0056036B"/>
    <w:rsid w:val="00587D7E"/>
    <w:rsid w:val="005A0F82"/>
    <w:rsid w:val="005A460B"/>
    <w:rsid w:val="005C449D"/>
    <w:rsid w:val="005E11FA"/>
    <w:rsid w:val="00612308"/>
    <w:rsid w:val="00613516"/>
    <w:rsid w:val="006242E9"/>
    <w:rsid w:val="0063125A"/>
    <w:rsid w:val="00647B2E"/>
    <w:rsid w:val="006501EC"/>
    <w:rsid w:val="006766C8"/>
    <w:rsid w:val="006F7F12"/>
    <w:rsid w:val="00724371"/>
    <w:rsid w:val="00734288"/>
    <w:rsid w:val="00760A84"/>
    <w:rsid w:val="0077582E"/>
    <w:rsid w:val="007B0457"/>
    <w:rsid w:val="007B52F0"/>
    <w:rsid w:val="007C557D"/>
    <w:rsid w:val="007D4FE2"/>
    <w:rsid w:val="0083098F"/>
    <w:rsid w:val="008529FB"/>
    <w:rsid w:val="00857528"/>
    <w:rsid w:val="008B785A"/>
    <w:rsid w:val="00900B40"/>
    <w:rsid w:val="00916E4B"/>
    <w:rsid w:val="00931160"/>
    <w:rsid w:val="00974427"/>
    <w:rsid w:val="00985BFD"/>
    <w:rsid w:val="009E42B7"/>
    <w:rsid w:val="009F28EB"/>
    <w:rsid w:val="00A051A9"/>
    <w:rsid w:val="00A06FC2"/>
    <w:rsid w:val="00A12D6C"/>
    <w:rsid w:val="00A1460C"/>
    <w:rsid w:val="00A16650"/>
    <w:rsid w:val="00A64309"/>
    <w:rsid w:val="00A7782D"/>
    <w:rsid w:val="00A908F0"/>
    <w:rsid w:val="00AF640B"/>
    <w:rsid w:val="00B03DC4"/>
    <w:rsid w:val="00B478AB"/>
    <w:rsid w:val="00B505C9"/>
    <w:rsid w:val="00BB482A"/>
    <w:rsid w:val="00BD4C3D"/>
    <w:rsid w:val="00C028C2"/>
    <w:rsid w:val="00C24CA6"/>
    <w:rsid w:val="00C62236"/>
    <w:rsid w:val="00C8087E"/>
    <w:rsid w:val="00CF2706"/>
    <w:rsid w:val="00D37390"/>
    <w:rsid w:val="00DA4CBC"/>
    <w:rsid w:val="00DD6D12"/>
    <w:rsid w:val="00DF25D3"/>
    <w:rsid w:val="00EB643A"/>
    <w:rsid w:val="00EC0294"/>
    <w:rsid w:val="00ED4D3C"/>
    <w:rsid w:val="00F04862"/>
    <w:rsid w:val="00F4421D"/>
    <w:rsid w:val="00F65C5C"/>
    <w:rsid w:val="00FA598A"/>
    <w:rsid w:val="00FB7AB4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C3D6CCA-0DE0-4402-B31D-5F76B1E4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1EC"/>
    <w:rPr>
      <w:sz w:val="24"/>
    </w:rPr>
  </w:style>
  <w:style w:type="paragraph" w:styleId="Heading8">
    <w:name w:val="heading 8"/>
    <w:basedOn w:val="Normal"/>
    <w:next w:val="Normal"/>
    <w:qFormat/>
    <w:rsid w:val="006501E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501E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6501E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501EC"/>
  </w:style>
  <w:style w:type="paragraph" w:styleId="Header">
    <w:name w:val="header"/>
    <w:basedOn w:val="Normal"/>
    <w:rsid w:val="006501EC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6501EC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6501EC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6501EC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6501EC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6501EC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6501EC"/>
    <w:pPr>
      <w:spacing w:before="12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6501EC"/>
    <w:rPr>
      <w:b/>
      <w:caps/>
      <w:sz w:val="28"/>
      <w:u w:val="double"/>
    </w:rPr>
  </w:style>
  <w:style w:type="character" w:styleId="Hyperlink">
    <w:name w:val="Hyperlink"/>
    <w:basedOn w:val="DefaultParagraphFont"/>
    <w:rsid w:val="006501EC"/>
    <w:rPr>
      <w:color w:val="808080"/>
      <w:u w:val="none"/>
    </w:rPr>
  </w:style>
  <w:style w:type="paragraph" w:customStyle="1" w:styleId="Nervous4">
    <w:name w:val="Nervous 4"/>
    <w:basedOn w:val="Normal"/>
    <w:rsid w:val="006501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6501E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6501EC"/>
    <w:pPr>
      <w:spacing w:before="240" w:after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6501EC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6501EC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6501EC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6501EC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6501EC"/>
    <w:rPr>
      <w:color w:val="808080"/>
      <w:u w:val="none"/>
    </w:rPr>
  </w:style>
  <w:style w:type="paragraph" w:customStyle="1" w:styleId="Nervous6">
    <w:name w:val="Nervous 6"/>
    <w:basedOn w:val="Normal"/>
    <w:rsid w:val="006501EC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C8087E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9">
    <w:name w:val="Nervous 9"/>
    <w:basedOn w:val="Normal"/>
    <w:autoRedefine/>
    <w:rsid w:val="006501EC"/>
    <w:rPr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6501EC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6501EC"/>
    <w:rPr>
      <w:i/>
      <w:smallCap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3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2016-04-04T16:36:00Z</dcterms:created>
  <dcterms:modified xsi:type="dcterms:W3CDTF">2016-04-04T16:36:00Z</dcterms:modified>
</cp:coreProperties>
</file>